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540" w14:textId="5AEA1DF3" w:rsidR="00931692" w:rsidRPr="00EA6BE5" w:rsidRDefault="00EA6BE5" w:rsidP="00F158C9">
      <w:pPr>
        <w:spacing w:after="8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628BDF2C" wp14:editId="6B777B0A">
            <wp:extent cx="5684809" cy="101917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1"/>
                    <a:stretch/>
                  </pic:blipFill>
                  <pic:spPr bwMode="auto">
                    <a:xfrm>
                      <a:off x="0" y="0"/>
                      <a:ext cx="5720429" cy="1025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BF653" w14:textId="03DBE8E1" w:rsidR="00EA6BE5" w:rsidRPr="00EA6BE5" w:rsidRDefault="00EA6BE5" w:rsidP="00F158C9">
      <w:pPr>
        <w:spacing w:after="80" w:line="240" w:lineRule="auto"/>
        <w:jc w:val="center"/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</w:pPr>
      <w:r w:rsidRPr="00EA6BE5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>Learned Society of Wales Research Workshop Grants</w:t>
      </w:r>
    </w:p>
    <w:p w14:paraId="25A824A5" w14:textId="77777777" w:rsidR="00F158C9" w:rsidRDefault="00F158C9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E61B0C7" w14:textId="1F29E7A3" w:rsidR="00EA6BE5" w:rsidRPr="00EA6BE5" w:rsidRDefault="00EA6BE5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A6BE5">
        <w:rPr>
          <w:rFonts w:eastAsia="Times New Roman" w:cstheme="minorHAnsi"/>
          <w:sz w:val="24"/>
          <w:szCs w:val="24"/>
          <w:lang w:eastAsia="en-GB"/>
        </w:rPr>
        <w:t>The grant scheme is designed to encourage collaborative investigation into a research proposition that is at an early stage of its development.</w:t>
      </w:r>
    </w:p>
    <w:p w14:paraId="04C7C6FF" w14:textId="77777777" w:rsidR="00EA6BE5" w:rsidRPr="00EA6BE5" w:rsidRDefault="00EA6BE5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A6BE5">
        <w:rPr>
          <w:rFonts w:eastAsia="Times New Roman" w:cstheme="minorHAnsi"/>
          <w:sz w:val="24"/>
          <w:szCs w:val="24"/>
          <w:lang w:eastAsia="en-GB"/>
        </w:rPr>
        <w:t>Building on the success of last year’s pilot we have developed three streams for 2022:</w:t>
      </w:r>
    </w:p>
    <w:p w14:paraId="7F29CC1F" w14:textId="7FBA6BAF" w:rsidR="00EA6BE5" w:rsidRPr="00EA6BE5" w:rsidRDefault="00EA6BE5" w:rsidP="00F158C9">
      <w:pPr>
        <w:numPr>
          <w:ilvl w:val="0"/>
          <w:numId w:val="14"/>
        </w:numPr>
        <w:spacing w:after="80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EA6BE5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Wales Studies</w:t>
      </w:r>
    </w:p>
    <w:p w14:paraId="0188B6E7" w14:textId="0B5CCF1C" w:rsidR="00EA6BE5" w:rsidRPr="00EA6BE5" w:rsidRDefault="00EA6BE5" w:rsidP="00F158C9">
      <w:pPr>
        <w:numPr>
          <w:ilvl w:val="0"/>
          <w:numId w:val="14"/>
        </w:numPr>
        <w:spacing w:after="80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EA6BE5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Early Career Researcher</w:t>
      </w:r>
    </w:p>
    <w:p w14:paraId="74DD7649" w14:textId="566DEDA7" w:rsidR="00EA6BE5" w:rsidRPr="00EA6BE5" w:rsidRDefault="00EA6BE5" w:rsidP="00F158C9">
      <w:pPr>
        <w:numPr>
          <w:ilvl w:val="0"/>
          <w:numId w:val="14"/>
        </w:numPr>
        <w:spacing w:after="80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EA6BE5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Humanities, Arts and Social Sciences</w:t>
      </w:r>
    </w:p>
    <w:p w14:paraId="3B7B17D3" w14:textId="77777777" w:rsidR="00F158C9" w:rsidRDefault="00F158C9" w:rsidP="00F158C9">
      <w:pPr>
        <w:spacing w:after="8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6F0FBB77" w14:textId="5F6EDF58" w:rsidR="00EA6BE5" w:rsidRPr="00EA6BE5" w:rsidRDefault="00EA6BE5" w:rsidP="00F158C9">
      <w:pPr>
        <w:spacing w:after="8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A6BE5">
        <w:rPr>
          <w:rFonts w:eastAsia="Times New Roman" w:cstheme="minorHAnsi"/>
          <w:b/>
          <w:bCs/>
          <w:sz w:val="28"/>
          <w:szCs w:val="28"/>
          <w:lang w:eastAsia="en-GB"/>
        </w:rPr>
        <w:t>What is a research workshop?</w:t>
      </w:r>
    </w:p>
    <w:p w14:paraId="4997ADA8" w14:textId="77777777" w:rsidR="00EA6BE5" w:rsidRPr="00EA6BE5" w:rsidRDefault="00EA6BE5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A6BE5">
        <w:rPr>
          <w:rFonts w:eastAsia="Times New Roman" w:cstheme="minorHAnsi"/>
          <w:sz w:val="24"/>
          <w:szCs w:val="24"/>
          <w:lang w:eastAsia="en-GB"/>
        </w:rPr>
        <w:t xml:space="preserve">A Workshop is regarded by the Learned Society of Wales as the coming together of scholars at the early stage of planning and developing a collaborative research initiative. Please note that these grants are intended to encourage and support a range of meetings and events to advance the exploration of the topic, and that a single event sharing </w:t>
      </w:r>
      <w:proofErr w:type="gramStart"/>
      <w:r w:rsidRPr="00EA6BE5">
        <w:rPr>
          <w:rFonts w:eastAsia="Times New Roman" w:cstheme="minorHAnsi"/>
          <w:sz w:val="24"/>
          <w:szCs w:val="24"/>
          <w:lang w:eastAsia="en-GB"/>
        </w:rPr>
        <w:t>completed</w:t>
      </w:r>
      <w:proofErr w:type="gramEnd"/>
      <w:r w:rsidRPr="00EA6BE5">
        <w:rPr>
          <w:rFonts w:eastAsia="Times New Roman" w:cstheme="minorHAnsi"/>
          <w:sz w:val="24"/>
          <w:szCs w:val="24"/>
          <w:lang w:eastAsia="en-GB"/>
        </w:rPr>
        <w:t xml:space="preserve"> or advanced research is not eligible under this scheme. For information about the Society’s event support grants, please see here.</w:t>
      </w:r>
    </w:p>
    <w:p w14:paraId="5AEDCF62" w14:textId="77777777" w:rsidR="00EA6BE5" w:rsidRPr="00EA6BE5" w:rsidRDefault="00EA6BE5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A6BE5">
        <w:rPr>
          <w:rFonts w:eastAsia="Times New Roman" w:cstheme="minorHAnsi"/>
          <w:sz w:val="24"/>
          <w:szCs w:val="24"/>
          <w:lang w:eastAsia="en-GB"/>
        </w:rPr>
        <w:t>It is envisaged that each Workshop project will lead to the development of a network, or an outline of a concept for grant project proposal in the area explored in order to provide tangible results that will be of value to the academic community and the wider public.</w:t>
      </w:r>
    </w:p>
    <w:p w14:paraId="1D09A980" w14:textId="230D8E7F" w:rsidR="00931692" w:rsidRPr="00EA6BE5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</w:pPr>
      <w:r w:rsidRPr="00931692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Successful applications should have a start date between Monday 15 August 2022 – November 30</w:t>
      </w:r>
      <w:proofErr w:type="gramStart"/>
      <w:r w:rsidRPr="00931692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2022</w:t>
      </w:r>
      <w:proofErr w:type="gramEnd"/>
    </w:p>
    <w:p w14:paraId="50C89F6A" w14:textId="77777777" w:rsidR="00F158C9" w:rsidRDefault="00F158C9" w:rsidP="00F158C9">
      <w:pPr>
        <w:spacing w:after="8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0CA546B6" w14:textId="09710B3B" w:rsidR="00F158C9" w:rsidRDefault="00931692" w:rsidP="00F158C9">
      <w:pPr>
        <w:spacing w:after="8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3169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Who can </w:t>
      </w:r>
      <w:proofErr w:type="gramStart"/>
      <w:r w:rsidRPr="00931692">
        <w:rPr>
          <w:rFonts w:eastAsia="Times New Roman" w:cstheme="minorHAnsi"/>
          <w:b/>
          <w:bCs/>
          <w:sz w:val="28"/>
          <w:szCs w:val="28"/>
          <w:lang w:eastAsia="en-GB"/>
        </w:rPr>
        <w:t>apply</w:t>
      </w:r>
      <w:proofErr w:type="gramEnd"/>
    </w:p>
    <w:p w14:paraId="4084732E" w14:textId="4A39209F" w:rsidR="00931692" w:rsidRPr="00931692" w:rsidRDefault="00931692" w:rsidP="00F158C9">
      <w:pPr>
        <w:spacing w:after="8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Proposals must involve</w:t>
      </w:r>
      <w:r w:rsidRPr="00931692">
        <w:rPr>
          <w:rFonts w:eastAsia="Times New Roman" w:cstheme="minorHAnsi"/>
          <w:b/>
          <w:bCs/>
          <w:sz w:val="24"/>
          <w:szCs w:val="24"/>
          <w:lang w:eastAsia="en-GB"/>
        </w:rPr>
        <w:t> two or more</w:t>
      </w:r>
      <w:r w:rsidRPr="00931692">
        <w:rPr>
          <w:rFonts w:eastAsia="Times New Roman" w:cstheme="minorHAnsi"/>
          <w:sz w:val="24"/>
          <w:szCs w:val="24"/>
          <w:lang w:eastAsia="en-GB"/>
        </w:rPr>
        <w:t> organisations.  </w:t>
      </w:r>
    </w:p>
    <w:p w14:paraId="34437464" w14:textId="77777777" w:rsidR="00931692" w:rsidRPr="00931692" w:rsidRDefault="00931692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Lead Applicants will be either: </w:t>
      </w:r>
    </w:p>
    <w:p w14:paraId="1AD50183" w14:textId="77777777" w:rsidR="00931692" w:rsidRPr="00931692" w:rsidRDefault="00931692" w:rsidP="00F158C9">
      <w:pPr>
        <w:numPr>
          <w:ilvl w:val="0"/>
          <w:numId w:val="1"/>
        </w:numPr>
        <w:spacing w:after="80" w:line="24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 xml:space="preserve">a full or part-time academic employed by a Higher Education Institution in </w:t>
      </w:r>
      <w:proofErr w:type="gramStart"/>
      <w:r w:rsidRPr="00931692">
        <w:rPr>
          <w:rFonts w:eastAsia="Times New Roman" w:cstheme="minorHAnsi"/>
          <w:sz w:val="24"/>
          <w:szCs w:val="24"/>
          <w:lang w:eastAsia="en-GB"/>
        </w:rPr>
        <w:t>Wales;</w:t>
      </w:r>
      <w:proofErr w:type="gramEnd"/>
    </w:p>
    <w:p w14:paraId="78A7C89E" w14:textId="77777777" w:rsidR="00931692" w:rsidRPr="00931692" w:rsidRDefault="00931692" w:rsidP="00F158C9">
      <w:pPr>
        <w:numPr>
          <w:ilvl w:val="0"/>
          <w:numId w:val="1"/>
        </w:num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a full or part-time practitioner or research-active member of staff in the public or third sector with a demonstrable commitment to teaching and research within said institution.</w:t>
      </w:r>
    </w:p>
    <w:p w14:paraId="6E5052F9" w14:textId="77777777" w:rsidR="00F158C9" w:rsidRDefault="00931692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Lead Applicants can be on a temporary or a permanent contract at their employing institution. </w:t>
      </w:r>
    </w:p>
    <w:p w14:paraId="386F6A63" w14:textId="61B816D2" w:rsidR="00931692" w:rsidRPr="00931692" w:rsidRDefault="00931692" w:rsidP="00F158C9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The project team may also include: </w:t>
      </w:r>
    </w:p>
    <w:p w14:paraId="25512AD6" w14:textId="77777777" w:rsidR="00931692" w:rsidRPr="00931692" w:rsidRDefault="00931692" w:rsidP="00F158C9">
      <w:pPr>
        <w:numPr>
          <w:ilvl w:val="0"/>
          <w:numId w:val="2"/>
        </w:num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other academic researchers from any discipline,</w:t>
      </w:r>
    </w:p>
    <w:p w14:paraId="35E52989" w14:textId="77777777" w:rsidR="00931692" w:rsidRPr="00931692" w:rsidRDefault="00931692" w:rsidP="00F158C9">
      <w:pPr>
        <w:numPr>
          <w:ilvl w:val="0"/>
          <w:numId w:val="2"/>
        </w:num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 researchers outside academia,</w:t>
      </w:r>
    </w:p>
    <w:p w14:paraId="337745C9" w14:textId="77777777" w:rsidR="00931692" w:rsidRPr="00931692" w:rsidRDefault="00931692" w:rsidP="00F158C9">
      <w:pPr>
        <w:numPr>
          <w:ilvl w:val="0"/>
          <w:numId w:val="2"/>
        </w:num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 members of the public or public-facing groups.  </w:t>
      </w:r>
    </w:p>
    <w:p w14:paraId="0A1E8BA2" w14:textId="77777777" w:rsidR="00F158C9" w:rsidRDefault="00F158C9" w:rsidP="00F158C9">
      <w:pPr>
        <w:spacing w:after="80" w:line="276" w:lineRule="auto"/>
        <w:rPr>
          <w:rFonts w:eastAsia="Times New Roman" w:cstheme="minorHAnsi"/>
          <w:sz w:val="24"/>
          <w:szCs w:val="24"/>
          <w:lang w:eastAsia="en-GB"/>
        </w:rPr>
      </w:pPr>
    </w:p>
    <w:p w14:paraId="01BD01C5" w14:textId="1A8C0EC0" w:rsidR="00931692" w:rsidRDefault="00931692" w:rsidP="00F158C9">
      <w:pPr>
        <w:spacing w:after="8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Proposals will be assessed by a panel of Society Fellows and staff, who will come to a consensus in deciding which proposals are successful. Applicants may be asked for more information before a grant is confirmed as successful. </w:t>
      </w:r>
    </w:p>
    <w:p w14:paraId="4DC63C54" w14:textId="77777777" w:rsidR="00F158C9" w:rsidRPr="00931692" w:rsidRDefault="00F158C9" w:rsidP="00F158C9">
      <w:pPr>
        <w:spacing w:after="80" w:line="276" w:lineRule="auto"/>
        <w:rPr>
          <w:rFonts w:eastAsia="Times New Roman" w:cstheme="minorHAnsi"/>
          <w:sz w:val="24"/>
          <w:szCs w:val="24"/>
          <w:lang w:eastAsia="en-GB"/>
        </w:rPr>
      </w:pPr>
    </w:p>
    <w:p w14:paraId="24E1AD67" w14:textId="77777777" w:rsidR="00931692" w:rsidRPr="00931692" w:rsidRDefault="00931692" w:rsidP="00F158C9">
      <w:pPr>
        <w:spacing w:after="80" w:line="276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931692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lastRenderedPageBreak/>
        <w:t xml:space="preserve">What </w:t>
      </w:r>
      <w:proofErr w:type="gramStart"/>
      <w:r w:rsidRPr="00931692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we’re</w:t>
      </w:r>
      <w:proofErr w:type="gramEnd"/>
      <w:r w:rsidRPr="00931692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looking for</w:t>
      </w:r>
    </w:p>
    <w:p w14:paraId="00C61AD8" w14:textId="7A5818A9" w:rsidR="00931692" w:rsidRPr="00931692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The key principles of the funding scheme are:</w:t>
      </w:r>
    </w:p>
    <w:p w14:paraId="4B007C74" w14:textId="77777777" w:rsidR="00931692" w:rsidRPr="00931692" w:rsidRDefault="00931692" w:rsidP="00F158C9">
      <w:pPr>
        <w:numPr>
          <w:ilvl w:val="0"/>
          <w:numId w:val="3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collaborative and interdisciplinary research</w:t>
      </w:r>
    </w:p>
    <w:p w14:paraId="6CB33984" w14:textId="77777777" w:rsidR="00931692" w:rsidRPr="00931692" w:rsidRDefault="00931692" w:rsidP="00F158C9">
      <w:pPr>
        <w:numPr>
          <w:ilvl w:val="0"/>
          <w:numId w:val="4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working with external partners to co-produce research outcomes and generate knowledge exchange</w:t>
      </w:r>
    </w:p>
    <w:p w14:paraId="32B27E48" w14:textId="77777777" w:rsidR="00931692" w:rsidRPr="00931692" w:rsidRDefault="00931692" w:rsidP="00F158C9">
      <w:pPr>
        <w:numPr>
          <w:ilvl w:val="0"/>
          <w:numId w:val="5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ensuring that principles and best practice of interdisciplinary working are adopted from the outset, allowing for the development of truly collaborative partnerships which will provide solutions to complex challenges</w:t>
      </w:r>
    </w:p>
    <w:p w14:paraId="04A3576B" w14:textId="1AE2590A" w:rsidR="00931692" w:rsidRPr="00931692" w:rsidRDefault="00931692" w:rsidP="00F158C9">
      <w:pPr>
        <w:numPr>
          <w:ilvl w:val="0"/>
          <w:numId w:val="6"/>
        </w:numPr>
        <w:spacing w:after="80" w:line="276" w:lineRule="auto"/>
        <w:textAlignment w:val="baseline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consideration of and contribution to the seven wellbeing goals of the </w:t>
      </w:r>
      <w:r w:rsidR="00EA6BE5">
        <w:rPr>
          <w:rFonts w:eastAsia="Times New Roman" w:cstheme="minorHAnsi"/>
          <w:b/>
          <w:bCs/>
          <w:color w:val="BD1622"/>
          <w:sz w:val="24"/>
          <w:szCs w:val="24"/>
          <w:bdr w:val="none" w:sz="0" w:space="0" w:color="auto" w:frame="1"/>
          <w:lang w:eastAsia="en-GB"/>
        </w:rPr>
        <w:fldChar w:fldCharType="begin"/>
      </w:r>
      <w:r w:rsidR="00EA6BE5">
        <w:rPr>
          <w:rFonts w:eastAsia="Times New Roman" w:cstheme="minorHAnsi"/>
          <w:b/>
          <w:bCs/>
          <w:color w:val="BD1622"/>
          <w:sz w:val="24"/>
          <w:szCs w:val="24"/>
          <w:bdr w:val="none" w:sz="0" w:space="0" w:color="auto" w:frame="1"/>
          <w:lang w:eastAsia="en-GB"/>
        </w:rPr>
        <w:instrText xml:space="preserve"> HYPERLINK "https://www.futuregenerations.wales/about-us/future-generations-act/" </w:instrText>
      </w:r>
      <w:r w:rsidR="00EA6BE5">
        <w:rPr>
          <w:rFonts w:eastAsia="Times New Roman" w:cstheme="minorHAnsi"/>
          <w:b/>
          <w:bCs/>
          <w:color w:val="BD1622"/>
          <w:sz w:val="24"/>
          <w:szCs w:val="24"/>
          <w:bdr w:val="none" w:sz="0" w:space="0" w:color="auto" w:frame="1"/>
          <w:lang w:eastAsia="en-GB"/>
        </w:rPr>
        <w:fldChar w:fldCharType="separate"/>
      </w:r>
      <w:r w:rsidRPr="00931692">
        <w:rPr>
          <w:rStyle w:val="Hyperlink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Wellbeing of Future Generations Act</w:t>
      </w:r>
    </w:p>
    <w:p w14:paraId="095D4D63" w14:textId="350648B1" w:rsidR="00931692" w:rsidRPr="00931692" w:rsidRDefault="00EA6BE5" w:rsidP="00F158C9">
      <w:pPr>
        <w:numPr>
          <w:ilvl w:val="0"/>
          <w:numId w:val="7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BD1622"/>
          <w:sz w:val="24"/>
          <w:szCs w:val="24"/>
          <w:bdr w:val="none" w:sz="0" w:space="0" w:color="auto" w:frame="1"/>
          <w:lang w:eastAsia="en-GB"/>
        </w:rPr>
        <w:fldChar w:fldCharType="end"/>
      </w:r>
      <w:r w:rsidR="00931692" w:rsidRPr="00931692">
        <w:rPr>
          <w:rFonts w:eastAsia="Times New Roman" w:cstheme="minorHAnsi"/>
          <w:sz w:val="24"/>
          <w:szCs w:val="24"/>
          <w:lang w:eastAsia="en-GB"/>
        </w:rPr>
        <w:t>building partnerships in order to prepare to potentially bid for future funding opportunities</w:t>
      </w:r>
    </w:p>
    <w:p w14:paraId="5B6E7434" w14:textId="54159E79" w:rsidR="00931692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In addition to these principles, each stream has specific criteria that must be addressed in the application:</w:t>
      </w:r>
    </w:p>
    <w:p w14:paraId="376CD34C" w14:textId="77777777" w:rsidR="00931692" w:rsidRPr="00931692" w:rsidRDefault="00931692" w:rsidP="00F158C9">
      <w:pPr>
        <w:numPr>
          <w:ilvl w:val="0"/>
          <w:numId w:val="8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Wales Studies</w:t>
      </w:r>
    </w:p>
    <w:p w14:paraId="64F2CD5E" w14:textId="004E5F77" w:rsidR="00931692" w:rsidRDefault="00931692" w:rsidP="00F158C9">
      <w:pPr>
        <w:numPr>
          <w:ilvl w:val="1"/>
          <w:numId w:val="8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Outline the relevance of the project in a Welsh context</w:t>
      </w:r>
    </w:p>
    <w:p w14:paraId="51BD8948" w14:textId="77777777" w:rsidR="00931692" w:rsidRPr="00931692" w:rsidRDefault="00931692" w:rsidP="00F158C9">
      <w:pPr>
        <w:numPr>
          <w:ilvl w:val="0"/>
          <w:numId w:val="9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Early Career Researcher</w:t>
      </w:r>
    </w:p>
    <w:p w14:paraId="6F486BD7" w14:textId="6E8F3B46" w:rsidR="00931692" w:rsidRDefault="00931692" w:rsidP="00F158C9">
      <w:pPr>
        <w:numPr>
          <w:ilvl w:val="1"/>
          <w:numId w:val="9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Outline how relationships will be developed across communities of early career researchers, potentially leading to innovative future proposals bringing disciplines together</w:t>
      </w:r>
    </w:p>
    <w:p w14:paraId="485E0B65" w14:textId="7937839F" w:rsidR="00931692" w:rsidRDefault="00931692" w:rsidP="00F158C9">
      <w:pPr>
        <w:numPr>
          <w:ilvl w:val="1"/>
          <w:numId w:val="9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“Early career researcher” is defined as a researcher within 10 years of the award of their PhD</w:t>
      </w:r>
    </w:p>
    <w:p w14:paraId="5AE7F7EF" w14:textId="77777777" w:rsidR="00931692" w:rsidRPr="00931692" w:rsidRDefault="00931692" w:rsidP="00F158C9">
      <w:pPr>
        <w:numPr>
          <w:ilvl w:val="0"/>
          <w:numId w:val="10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Humanities, Arts and Social Sciences</w:t>
      </w:r>
    </w:p>
    <w:p w14:paraId="101F684A" w14:textId="23B76502" w:rsidR="00931692" w:rsidRDefault="00931692" w:rsidP="00F158C9">
      <w:pPr>
        <w:numPr>
          <w:ilvl w:val="1"/>
          <w:numId w:val="10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Outline how relationships will be developed across communities of researchers, potentially leading to innovative future proposals bringing disciplines together</w:t>
      </w:r>
    </w:p>
    <w:p w14:paraId="4DAABE3D" w14:textId="77777777" w:rsidR="00931692" w:rsidRPr="00931692" w:rsidRDefault="00931692" w:rsidP="00F158C9">
      <w:pPr>
        <w:spacing w:after="80" w:line="276" w:lineRule="auto"/>
        <w:ind w:left="144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C005B85" w14:textId="77777777" w:rsidR="00931692" w:rsidRPr="00931692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Equality, </w:t>
      </w:r>
      <w:proofErr w:type="gramStart"/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Diversity</w:t>
      </w:r>
      <w:proofErr w:type="gramEnd"/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and Inclusion</w:t>
      </w:r>
    </w:p>
    <w:p w14:paraId="4B52430B" w14:textId="77777777" w:rsidR="001125A3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>As well as the key legal requirements, applicants should consider how they will address specific needs related to EDI, in-line with the Society’s commitment to EDI.</w:t>
      </w:r>
    </w:p>
    <w:p w14:paraId="7269E0A3" w14:textId="77777777" w:rsidR="001125A3" w:rsidRPr="001125A3" w:rsidRDefault="001125A3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14"/>
          <w:szCs w:val="14"/>
          <w:lang w:eastAsia="en-GB"/>
        </w:rPr>
      </w:pPr>
    </w:p>
    <w:p w14:paraId="4E1B267A" w14:textId="2DE2D749" w:rsidR="00931692" w:rsidRPr="00931692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3169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Impact and reporting    </w:t>
      </w:r>
    </w:p>
    <w:p w14:paraId="11BDA862" w14:textId="36BEF70B" w:rsidR="00E56BC5" w:rsidRDefault="00931692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31692">
        <w:rPr>
          <w:rFonts w:eastAsia="Times New Roman" w:cstheme="minorHAnsi"/>
          <w:sz w:val="24"/>
          <w:szCs w:val="24"/>
          <w:lang w:eastAsia="en-GB"/>
        </w:rPr>
        <w:t xml:space="preserve">Awardees will be asked to provide an update on progress (via a short from) by 1 December, and a final report outlining the activities, </w:t>
      </w:r>
      <w:proofErr w:type="gramStart"/>
      <w:r w:rsidRPr="00931692">
        <w:rPr>
          <w:rFonts w:eastAsia="Times New Roman" w:cstheme="minorHAnsi"/>
          <w:sz w:val="24"/>
          <w:szCs w:val="24"/>
          <w:lang w:eastAsia="en-GB"/>
        </w:rPr>
        <w:t>outcomes</w:t>
      </w:r>
      <w:proofErr w:type="gramEnd"/>
      <w:r w:rsidRPr="00931692">
        <w:rPr>
          <w:rFonts w:eastAsia="Times New Roman" w:cstheme="minorHAnsi"/>
          <w:sz w:val="24"/>
          <w:szCs w:val="24"/>
          <w:lang w:eastAsia="en-GB"/>
        </w:rPr>
        <w:t xml:space="preserve"> and impact of the project by 28 February 2023.</w:t>
      </w:r>
    </w:p>
    <w:p w14:paraId="69ACB7EF" w14:textId="77777777" w:rsidR="00F158C9" w:rsidRDefault="00F158C9" w:rsidP="00F158C9">
      <w:pPr>
        <w:spacing w:after="80" w:line="276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718355D" w14:textId="49054173" w:rsid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E56CB">
        <w:rPr>
          <w:rFonts w:eastAsia="Times New Roman" w:cstheme="minorHAnsi"/>
          <w:b/>
          <w:bCs/>
          <w:sz w:val="28"/>
          <w:szCs w:val="28"/>
          <w:lang w:eastAsia="en-GB"/>
        </w:rPr>
        <w:t>Funding Details</w:t>
      </w:r>
    </w:p>
    <w:p w14:paraId="07A097CD" w14:textId="048E8EE2" w:rsidR="00357E9A" w:rsidRDefault="001D47E9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You can apply for up to £1,000 to support your project. </w:t>
      </w:r>
    </w:p>
    <w:p w14:paraId="56B8D17F" w14:textId="43D2C371" w:rsidR="001E56CB" w:rsidRP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Proposals can include fully justified direct costs incurred in delivering the project. </w:t>
      </w:r>
    </w:p>
    <w:p w14:paraId="0B49D8B8" w14:textId="77777777" w:rsidR="001E56CB" w:rsidRP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This may include, for example: </w:t>
      </w:r>
    </w:p>
    <w:p w14:paraId="2B0BCDAE" w14:textId="77777777" w:rsidR="001E56CB" w:rsidRPr="001E56CB" w:rsidRDefault="001E56CB" w:rsidP="00F158C9">
      <w:pPr>
        <w:numPr>
          <w:ilvl w:val="0"/>
          <w:numId w:val="11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staff resources (including administration and coordination, contributions to salaries (where a named individual will undertake work that would not be considered part of their normal duties), sub-contracting of services, or enabling public or community partners to take part)  </w:t>
      </w:r>
    </w:p>
    <w:p w14:paraId="7EDE66F2" w14:textId="77777777" w:rsidR="001E56CB" w:rsidRPr="001E56CB" w:rsidRDefault="001E56CB" w:rsidP="00F158C9">
      <w:pPr>
        <w:numPr>
          <w:ilvl w:val="0"/>
          <w:numId w:val="11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lastRenderedPageBreak/>
        <w:t>non-staff resources (including cost of materials, travel and subsistence, meetings and events, consumables, materials and equipment, and evaluation costs) </w:t>
      </w:r>
    </w:p>
    <w:p w14:paraId="352050D8" w14:textId="64EC6444" w:rsidR="001E56CB" w:rsidRDefault="001E56CB" w:rsidP="00F158C9">
      <w:pPr>
        <w:numPr>
          <w:ilvl w:val="0"/>
          <w:numId w:val="11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 xml:space="preserve">the funding of expenses, an honorarium for time, </w:t>
      </w:r>
      <w:proofErr w:type="gramStart"/>
      <w:r w:rsidRPr="001E56CB">
        <w:rPr>
          <w:rFonts w:eastAsia="Times New Roman" w:cstheme="minorHAnsi"/>
          <w:sz w:val="24"/>
          <w:szCs w:val="24"/>
          <w:lang w:eastAsia="en-GB"/>
        </w:rPr>
        <w:t>childcare</w:t>
      </w:r>
      <w:proofErr w:type="gramEnd"/>
      <w:r w:rsidRPr="001E56CB">
        <w:rPr>
          <w:rFonts w:eastAsia="Times New Roman" w:cstheme="minorHAnsi"/>
          <w:sz w:val="24"/>
          <w:szCs w:val="24"/>
          <w:lang w:eastAsia="en-GB"/>
        </w:rPr>
        <w:t xml:space="preserve"> and other costs to allow for participation of those outside of academia such, as public communities, and training to build the capacity of these groups to take a confident and active role in the workshop and research activities. </w:t>
      </w:r>
    </w:p>
    <w:p w14:paraId="33CA3CEB" w14:textId="3F36B77A" w:rsid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This call is funded outside of full economic costing rules. </w:t>
      </w:r>
    </w:p>
    <w:p w14:paraId="708FE407" w14:textId="2359CCC2" w:rsid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Grants may be topped up by the awardee’s institution and the partner organisations.  </w:t>
      </w:r>
    </w:p>
    <w:p w14:paraId="5B2BC685" w14:textId="77777777" w:rsidR="001E56CB" w:rsidRP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Costs not covered</w:t>
      </w:r>
      <w:r w:rsidRPr="001E56CB">
        <w:rPr>
          <w:rFonts w:eastAsia="Times New Roman" w:cstheme="minorHAnsi"/>
          <w:sz w:val="24"/>
          <w:szCs w:val="24"/>
          <w:lang w:eastAsia="en-GB"/>
        </w:rPr>
        <w:t> </w:t>
      </w:r>
    </w:p>
    <w:p w14:paraId="396BBE66" w14:textId="77777777" w:rsidR="001E56CB" w:rsidRP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The budget and costings must be based on valid estimates. </w:t>
      </w:r>
      <w:r w:rsidRPr="001E56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Funding will not be provided for: </w:t>
      </w:r>
    </w:p>
    <w:p w14:paraId="75741FF9" w14:textId="77777777" w:rsidR="001E56CB" w:rsidRP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estates and indirect costs </w:t>
      </w:r>
    </w:p>
    <w:p w14:paraId="02FB9A42" w14:textId="77777777" w:rsidR="001E56CB" w:rsidRP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fees or honoraria to people already in paid employment to deliver activities </w:t>
      </w:r>
    </w:p>
    <w:p w14:paraId="095980C4" w14:textId="77777777" w:rsidR="001E56CB" w:rsidRP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where such activities would reasonably be undertaken as part of their normal duties </w:t>
      </w:r>
    </w:p>
    <w:p w14:paraId="49AD87D1" w14:textId="77777777" w:rsidR="001E56CB" w:rsidRP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retrospective funding, including those projects with a start date after the closing date but before the funding decisions are announced </w:t>
      </w:r>
    </w:p>
    <w:p w14:paraId="214038A1" w14:textId="77777777" w:rsidR="001E56CB" w:rsidRP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infrastructure or building costs </w:t>
      </w:r>
    </w:p>
    <w:p w14:paraId="37C94FA1" w14:textId="77777777" w:rsidR="001E56CB" w:rsidRP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expenses incurred submitting the proposal </w:t>
      </w:r>
    </w:p>
    <w:p w14:paraId="4100B6D8" w14:textId="732860B7" w:rsidR="001E56CB" w:rsidRDefault="001E56CB" w:rsidP="00F158C9">
      <w:pPr>
        <w:numPr>
          <w:ilvl w:val="0"/>
          <w:numId w:val="12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academic courses such as </w:t>
      </w:r>
      <w:proofErr w:type="gramStart"/>
      <w:r w:rsidRPr="001E56CB">
        <w:rPr>
          <w:rFonts w:eastAsia="Times New Roman" w:cstheme="minorHAnsi"/>
          <w:sz w:val="24"/>
          <w:szCs w:val="24"/>
          <w:lang w:eastAsia="en-GB"/>
        </w:rPr>
        <w:t>Master’s</w:t>
      </w:r>
      <w:proofErr w:type="gramEnd"/>
      <w:r w:rsidRPr="001E56CB">
        <w:rPr>
          <w:rFonts w:eastAsia="Times New Roman" w:cstheme="minorHAnsi"/>
          <w:sz w:val="24"/>
          <w:szCs w:val="24"/>
          <w:lang w:eastAsia="en-GB"/>
        </w:rPr>
        <w:t> degrees or PhDs, and other tuition fees. </w:t>
      </w:r>
    </w:p>
    <w:p w14:paraId="537350C3" w14:textId="526BE794" w:rsid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The Society reserves the right not to fund up to the limit allocated to the call and to make changes to the budgetary limits of the successful grants. </w:t>
      </w:r>
    </w:p>
    <w:p w14:paraId="09EE2FF2" w14:textId="77777777" w:rsidR="001E56CB" w:rsidRP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Providing the grants</w:t>
      </w:r>
    </w:p>
    <w:p w14:paraId="11B207FF" w14:textId="77777777" w:rsidR="001E56CB" w:rsidRPr="001E56CB" w:rsidRDefault="001E56CB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The process to provide these grants will be as follows:  </w:t>
      </w:r>
    </w:p>
    <w:p w14:paraId="75E97423" w14:textId="77777777" w:rsidR="001E56CB" w:rsidRPr="001E56CB" w:rsidRDefault="001E56CB" w:rsidP="00F158C9">
      <w:pPr>
        <w:numPr>
          <w:ilvl w:val="0"/>
          <w:numId w:val="13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A purchase order will be raised, and a purchase order number will be shared.  </w:t>
      </w:r>
    </w:p>
    <w:p w14:paraId="6A622297" w14:textId="47B4F116" w:rsidR="001E56CB" w:rsidRDefault="001E56CB" w:rsidP="00F158C9">
      <w:pPr>
        <w:numPr>
          <w:ilvl w:val="0"/>
          <w:numId w:val="13"/>
        </w:numPr>
        <w:spacing w:after="8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E56CB">
        <w:rPr>
          <w:rFonts w:eastAsia="Times New Roman" w:cstheme="minorHAnsi"/>
          <w:sz w:val="24"/>
          <w:szCs w:val="24"/>
          <w:lang w:eastAsia="en-GB"/>
        </w:rPr>
        <w:t>The grant will be paid by invoice (which must include the purchase order number, site address, Learned Society of Wales’s address and a unique invoice number)</w:t>
      </w:r>
    </w:p>
    <w:p w14:paraId="0391B4C9" w14:textId="77777777" w:rsidR="001E56CB" w:rsidRDefault="001E56CB" w:rsidP="00F158C9">
      <w:pPr>
        <w:spacing w:after="80" w:line="276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9C52EA1" w14:textId="3F6CB051" w:rsidR="001E56CB" w:rsidRPr="001E56CB" w:rsidRDefault="001E56CB" w:rsidP="00F158C9">
      <w:pPr>
        <w:spacing w:after="80" w:line="276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E56CB">
        <w:rPr>
          <w:rFonts w:eastAsia="Times New Roman" w:cstheme="minorHAnsi"/>
          <w:b/>
          <w:bCs/>
          <w:sz w:val="28"/>
          <w:szCs w:val="28"/>
          <w:lang w:eastAsia="en-GB"/>
        </w:rPr>
        <w:t>How to apply</w:t>
      </w:r>
    </w:p>
    <w:p w14:paraId="2759857A" w14:textId="09463F64" w:rsidR="001125A3" w:rsidRDefault="00E13FFA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r w:rsidR="001E56CB" w:rsidRPr="00E13FFA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Proposals must be submitted via the online form by </w:t>
        </w:r>
        <w:proofErr w:type="spellStart"/>
        <w:r w:rsidR="001E56CB" w:rsidRPr="00E13FFA">
          <w:rPr>
            <w:rStyle w:val="Hyperlink"/>
            <w:rFonts w:eastAsia="Times New Roman" w:cstheme="minorHAnsi"/>
            <w:sz w:val="24"/>
            <w:szCs w:val="24"/>
            <w:lang w:eastAsia="en-GB"/>
          </w:rPr>
          <w:t>4:00pm</w:t>
        </w:r>
        <w:proofErr w:type="spellEnd"/>
        <w:r w:rsidR="001E56CB" w:rsidRPr="00E13FFA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30 June 2022</w:t>
        </w:r>
      </w:hyperlink>
      <w:r w:rsidR="001E56CB">
        <w:rPr>
          <w:rFonts w:eastAsia="Times New Roman" w:cstheme="minorHAnsi"/>
          <w:sz w:val="24"/>
          <w:szCs w:val="24"/>
          <w:lang w:eastAsia="en-GB"/>
        </w:rPr>
        <w:t>. N</w:t>
      </w:r>
      <w:r w:rsidR="001E56CB" w:rsidRPr="001E56CB">
        <w:rPr>
          <w:rFonts w:eastAsia="Times New Roman" w:cstheme="minorHAnsi"/>
          <w:sz w:val="24"/>
          <w:szCs w:val="24"/>
          <w:lang w:eastAsia="en-GB"/>
        </w:rPr>
        <w:t>o other documents will be considered.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125A3">
        <w:rPr>
          <w:rFonts w:eastAsia="Times New Roman" w:cstheme="minorHAnsi"/>
          <w:sz w:val="24"/>
          <w:szCs w:val="24"/>
          <w:lang w:eastAsia="en-GB"/>
        </w:rPr>
        <w:t xml:space="preserve">Please contact </w:t>
      </w:r>
      <w:hyperlink r:id="rId12" w:history="1">
        <w:r w:rsidR="001125A3" w:rsidRPr="001125A3">
          <w:rPr>
            <w:rStyle w:val="Hyperlink"/>
            <w:rFonts w:eastAsia="Times New Roman" w:cstheme="minorHAnsi"/>
            <w:sz w:val="24"/>
            <w:szCs w:val="24"/>
            <w:lang w:eastAsia="en-GB"/>
          </w:rPr>
          <w:t>Dr Sarah Morse</w:t>
        </w:r>
      </w:hyperlink>
      <w:r w:rsidR="001125A3">
        <w:rPr>
          <w:rFonts w:eastAsia="Times New Roman" w:cstheme="minorHAnsi"/>
          <w:sz w:val="24"/>
          <w:szCs w:val="24"/>
          <w:lang w:eastAsia="en-GB"/>
        </w:rPr>
        <w:t xml:space="preserve"> if you require any further information. </w:t>
      </w:r>
    </w:p>
    <w:p w14:paraId="54719913" w14:textId="250A3DC7" w:rsidR="00F158C9" w:rsidRDefault="00F158C9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1132B6C" w14:textId="3775A72D" w:rsidR="00F158C9" w:rsidRDefault="00F158C9" w:rsidP="00F158C9">
      <w:pPr>
        <w:spacing w:after="8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284"/>
      </w:tblGrid>
      <w:tr w:rsidR="001125A3" w14:paraId="1CE69822" w14:textId="77777777" w:rsidTr="001125A3">
        <w:trPr>
          <w:trHeight w:val="1170"/>
        </w:trPr>
        <w:tc>
          <w:tcPr>
            <w:tcW w:w="2192" w:type="dxa"/>
          </w:tcPr>
          <w:p w14:paraId="14389CBC" w14:textId="4223A3AA" w:rsidR="001125A3" w:rsidRPr="001125A3" w:rsidRDefault="00F158C9" w:rsidP="00F158C9">
            <w:pPr>
              <w:spacing w:after="8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The scheme is </w:t>
            </w:r>
            <w:r w:rsidR="00A2583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supported</w:t>
            </w:r>
            <w:r w:rsidR="001125A3" w:rsidRPr="001125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by </w:t>
            </w:r>
            <w:proofErr w:type="spellStart"/>
            <w:r w:rsidR="001125A3" w:rsidRPr="001125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HEFCW</w:t>
            </w:r>
            <w:proofErr w:type="spellEnd"/>
          </w:p>
        </w:tc>
        <w:tc>
          <w:tcPr>
            <w:tcW w:w="6284" w:type="dxa"/>
            <w:vAlign w:val="center"/>
          </w:tcPr>
          <w:p w14:paraId="5AE1A0E7" w14:textId="0730941C" w:rsidR="001125A3" w:rsidRDefault="001125A3" w:rsidP="00F158C9">
            <w:pPr>
              <w:spacing w:after="8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AEB077" wp14:editId="61B4AB35">
                  <wp:extent cx="3853721" cy="752475"/>
                  <wp:effectExtent l="0" t="0" r="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977" cy="769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E7F13" w14:textId="2EF1E972" w:rsidR="001125A3" w:rsidRPr="001E56CB" w:rsidRDefault="001125A3" w:rsidP="00F158C9">
      <w:pPr>
        <w:spacing w:after="8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sectPr w:rsidR="001125A3" w:rsidRPr="001E56CB" w:rsidSect="00EA6B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A794" w14:textId="77777777" w:rsidR="00F158C9" w:rsidRDefault="00F158C9" w:rsidP="00F158C9">
      <w:pPr>
        <w:spacing w:after="0" w:line="240" w:lineRule="auto"/>
      </w:pPr>
      <w:r>
        <w:separator/>
      </w:r>
    </w:p>
  </w:endnote>
  <w:endnote w:type="continuationSeparator" w:id="0">
    <w:p w14:paraId="1224AB49" w14:textId="77777777" w:rsidR="00F158C9" w:rsidRDefault="00F158C9" w:rsidP="00F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67C4" w14:textId="77777777" w:rsidR="00F158C9" w:rsidRDefault="00F15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5240" w14:textId="77777777" w:rsidR="00F158C9" w:rsidRDefault="00F15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920E" w14:textId="77777777" w:rsidR="00F158C9" w:rsidRDefault="00F15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F558" w14:textId="77777777" w:rsidR="00F158C9" w:rsidRDefault="00F158C9" w:rsidP="00F158C9">
      <w:pPr>
        <w:spacing w:after="0" w:line="240" w:lineRule="auto"/>
      </w:pPr>
      <w:r>
        <w:separator/>
      </w:r>
    </w:p>
  </w:footnote>
  <w:footnote w:type="continuationSeparator" w:id="0">
    <w:p w14:paraId="505C2235" w14:textId="77777777" w:rsidR="00F158C9" w:rsidRDefault="00F158C9" w:rsidP="00F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07F" w14:textId="4B457400" w:rsidR="00F158C9" w:rsidRDefault="00E92B3D">
    <w:pPr>
      <w:pStyle w:val="Header"/>
    </w:pPr>
    <w:r>
      <w:rPr>
        <w:noProof/>
      </w:rPr>
      <w:pict w14:anchorId="302D0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7876" o:spid="_x0000_s2050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A56C" w14:textId="243B4248" w:rsidR="00F158C9" w:rsidRDefault="00E92B3D">
    <w:pPr>
      <w:pStyle w:val="Header"/>
    </w:pPr>
    <w:r>
      <w:rPr>
        <w:noProof/>
      </w:rPr>
      <w:pict w14:anchorId="6CC6D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7877" o:spid="_x0000_s2051" type="#_x0000_t136" style="position:absolute;margin-left:0;margin-top:0;width:421.6pt;height:32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197" w14:textId="27ADD83C" w:rsidR="00F158C9" w:rsidRDefault="00E92B3D">
    <w:pPr>
      <w:pStyle w:val="Header"/>
    </w:pPr>
    <w:r>
      <w:rPr>
        <w:noProof/>
      </w:rPr>
      <w:pict w14:anchorId="52948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7875" o:spid="_x0000_s2049" type="#_x0000_t136" style="position:absolute;margin-left:0;margin-top:0;width:421.6pt;height:3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7001"/>
    <w:multiLevelType w:val="multilevel"/>
    <w:tmpl w:val="677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F22D5"/>
    <w:multiLevelType w:val="multilevel"/>
    <w:tmpl w:val="F7C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74BF7"/>
    <w:multiLevelType w:val="multilevel"/>
    <w:tmpl w:val="0C1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66580"/>
    <w:multiLevelType w:val="multilevel"/>
    <w:tmpl w:val="409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F73"/>
    <w:multiLevelType w:val="multilevel"/>
    <w:tmpl w:val="FE8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A1612"/>
    <w:multiLevelType w:val="multilevel"/>
    <w:tmpl w:val="C67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E7330"/>
    <w:multiLevelType w:val="multilevel"/>
    <w:tmpl w:val="966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B2948"/>
    <w:multiLevelType w:val="multilevel"/>
    <w:tmpl w:val="EA3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F2D15"/>
    <w:multiLevelType w:val="multilevel"/>
    <w:tmpl w:val="918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C588B"/>
    <w:multiLevelType w:val="multilevel"/>
    <w:tmpl w:val="49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A6432"/>
    <w:multiLevelType w:val="multilevel"/>
    <w:tmpl w:val="504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E568A"/>
    <w:multiLevelType w:val="multilevel"/>
    <w:tmpl w:val="4A0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454B9"/>
    <w:multiLevelType w:val="multilevel"/>
    <w:tmpl w:val="28E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03992"/>
    <w:multiLevelType w:val="multilevel"/>
    <w:tmpl w:val="8BD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92"/>
    <w:rsid w:val="00036630"/>
    <w:rsid w:val="000C55BD"/>
    <w:rsid w:val="000F22AC"/>
    <w:rsid w:val="001125A3"/>
    <w:rsid w:val="00153DB0"/>
    <w:rsid w:val="001663FC"/>
    <w:rsid w:val="001D47E9"/>
    <w:rsid w:val="001E54AA"/>
    <w:rsid w:val="001E56CB"/>
    <w:rsid w:val="00357E9A"/>
    <w:rsid w:val="0056149C"/>
    <w:rsid w:val="006076D6"/>
    <w:rsid w:val="006706E6"/>
    <w:rsid w:val="00931692"/>
    <w:rsid w:val="00975550"/>
    <w:rsid w:val="00A07872"/>
    <w:rsid w:val="00A25831"/>
    <w:rsid w:val="00C17CE7"/>
    <w:rsid w:val="00C62B94"/>
    <w:rsid w:val="00D81827"/>
    <w:rsid w:val="00DD750A"/>
    <w:rsid w:val="00E13FFA"/>
    <w:rsid w:val="00EA6BE5"/>
    <w:rsid w:val="00F158C9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FBEC0F"/>
  <w15:chartTrackingRefBased/>
  <w15:docId w15:val="{D66A46B5-D143-4E3A-8B73-2554EC0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1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16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16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16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as-medium-font-size">
    <w:name w:val="has-medium-font-size"/>
    <w:basedOn w:val="Normal"/>
    <w:rsid w:val="009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1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9"/>
  </w:style>
  <w:style w:type="paragraph" w:styleId="Footer">
    <w:name w:val="footer"/>
    <w:basedOn w:val="Normal"/>
    <w:link w:val="FooterChar"/>
    <w:uiPriority w:val="99"/>
    <w:unhideWhenUsed/>
    <w:rsid w:val="00F1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85">
          <w:marLeft w:val="-225"/>
          <w:marRight w:val="-225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240">
          <w:marLeft w:val="-225"/>
          <w:marRight w:val="-225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morse@lsw.wales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Wjpruc9kgc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D4346-4CBD-478F-BF1B-A9DEC5008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FEB2B-F224-4EF9-9CE8-ED4293851751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DE8CF77C-6EA9-4390-B86E-01D5E98E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Sarah Morse</cp:lastModifiedBy>
  <cp:revision>2</cp:revision>
  <dcterms:created xsi:type="dcterms:W3CDTF">2022-05-10T08:12:00Z</dcterms:created>
  <dcterms:modified xsi:type="dcterms:W3CDTF">2022-05-10T08:12:00Z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