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EA" w:rsidRDefault="00D839EA" w:rsidP="003D004B">
      <w:pPr>
        <w:jc w:val="center"/>
        <w:rPr>
          <w:rFonts w:ascii="Calibri" w:hAnsi="Calibri"/>
          <w:b/>
          <w:spacing w:val="-3"/>
          <w:sz w:val="28"/>
          <w:szCs w:val="28"/>
        </w:rPr>
      </w:pPr>
      <w:r w:rsidRPr="00584BE2">
        <w:rPr>
          <w:noProof/>
        </w:rPr>
        <w:drawing>
          <wp:inline distT="0" distB="0" distL="0" distR="0" wp14:anchorId="76EDAE03" wp14:editId="17399643">
            <wp:extent cx="41243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EA" w:rsidRDefault="00D839EA" w:rsidP="003D004B">
      <w:pPr>
        <w:jc w:val="center"/>
        <w:rPr>
          <w:rFonts w:ascii="Calibri" w:hAnsi="Calibri"/>
          <w:b/>
          <w:spacing w:val="-3"/>
          <w:sz w:val="28"/>
          <w:szCs w:val="28"/>
        </w:rPr>
      </w:pPr>
      <w:bookmarkStart w:id="0" w:name="_GoBack"/>
      <w:bookmarkEnd w:id="0"/>
    </w:p>
    <w:p w:rsidR="003D004B" w:rsidRPr="003E432F" w:rsidRDefault="003D004B" w:rsidP="003D004B">
      <w:pPr>
        <w:jc w:val="center"/>
        <w:rPr>
          <w:rFonts w:ascii="Calibri" w:hAnsi="Calibri"/>
          <w:b/>
          <w:spacing w:val="-3"/>
          <w:sz w:val="28"/>
          <w:szCs w:val="28"/>
        </w:rPr>
      </w:pPr>
      <w:r w:rsidRPr="003E432F">
        <w:rPr>
          <w:rFonts w:ascii="Calibri" w:hAnsi="Calibri"/>
          <w:b/>
          <w:spacing w:val="-3"/>
          <w:sz w:val="28"/>
          <w:szCs w:val="28"/>
        </w:rPr>
        <w:t>Finance Committee</w:t>
      </w:r>
    </w:p>
    <w:p w:rsidR="003D004B" w:rsidRDefault="003D004B" w:rsidP="003D004B">
      <w:pPr>
        <w:jc w:val="center"/>
        <w:rPr>
          <w:rFonts w:ascii="Calibri" w:hAnsi="Calibri"/>
          <w:b/>
          <w:spacing w:val="-3"/>
          <w:sz w:val="28"/>
          <w:szCs w:val="28"/>
        </w:rPr>
      </w:pPr>
      <w:r w:rsidRPr="003E432F">
        <w:rPr>
          <w:rFonts w:ascii="Calibri" w:hAnsi="Calibri"/>
          <w:b/>
          <w:spacing w:val="-3"/>
          <w:sz w:val="28"/>
          <w:szCs w:val="28"/>
        </w:rPr>
        <w:t>constitution and terms of reference</w:t>
      </w:r>
    </w:p>
    <w:p w:rsidR="003D004B" w:rsidRPr="003E432F" w:rsidRDefault="003D004B" w:rsidP="003D004B">
      <w:pPr>
        <w:jc w:val="center"/>
        <w:rPr>
          <w:rFonts w:ascii="Calibri" w:hAnsi="Calibri"/>
          <w:b/>
          <w:spacing w:val="-3"/>
          <w:sz w:val="28"/>
          <w:szCs w:val="28"/>
        </w:rPr>
      </w:pPr>
      <w:r>
        <w:rPr>
          <w:rFonts w:ascii="Calibri" w:hAnsi="Calibri"/>
          <w:b/>
          <w:spacing w:val="-3"/>
          <w:sz w:val="28"/>
          <w:szCs w:val="28"/>
        </w:rPr>
        <w:t xml:space="preserve">(approved by Council, </w:t>
      </w:r>
      <w:r w:rsidR="00D839EA">
        <w:rPr>
          <w:rFonts w:ascii="Calibri" w:hAnsi="Calibri"/>
          <w:b/>
          <w:spacing w:val="-3"/>
          <w:sz w:val="28"/>
          <w:szCs w:val="28"/>
        </w:rPr>
        <w:t>13</w:t>
      </w:r>
      <w:r>
        <w:rPr>
          <w:rFonts w:ascii="Calibri" w:hAnsi="Calibri"/>
          <w:b/>
          <w:spacing w:val="-3"/>
          <w:sz w:val="28"/>
          <w:szCs w:val="28"/>
        </w:rPr>
        <w:t xml:space="preserve"> </w:t>
      </w:r>
      <w:r w:rsidR="00D839EA">
        <w:rPr>
          <w:rFonts w:ascii="Calibri" w:hAnsi="Calibri"/>
          <w:b/>
          <w:spacing w:val="-3"/>
          <w:sz w:val="28"/>
          <w:szCs w:val="28"/>
        </w:rPr>
        <w:t>January</w:t>
      </w:r>
      <w:r>
        <w:rPr>
          <w:rFonts w:ascii="Calibri" w:hAnsi="Calibri"/>
          <w:b/>
          <w:spacing w:val="-3"/>
          <w:sz w:val="28"/>
          <w:szCs w:val="28"/>
        </w:rPr>
        <w:t xml:space="preserve"> 201</w:t>
      </w:r>
      <w:r w:rsidR="00D839EA">
        <w:rPr>
          <w:rFonts w:ascii="Calibri" w:hAnsi="Calibri"/>
          <w:b/>
          <w:spacing w:val="-3"/>
          <w:sz w:val="28"/>
          <w:szCs w:val="28"/>
        </w:rPr>
        <w:t>6</w:t>
      </w:r>
      <w:r>
        <w:rPr>
          <w:rFonts w:ascii="Calibri" w:hAnsi="Calibri"/>
          <w:b/>
          <w:spacing w:val="-3"/>
          <w:sz w:val="28"/>
          <w:szCs w:val="28"/>
        </w:rPr>
        <w:t>)</w:t>
      </w:r>
    </w:p>
    <w:p w:rsidR="003D004B" w:rsidRPr="00FD517C" w:rsidRDefault="003D004B" w:rsidP="003D004B">
      <w:pPr>
        <w:rPr>
          <w:rFonts w:ascii="Calibri" w:hAnsi="Calibri"/>
          <w:spacing w:val="-3"/>
          <w:sz w:val="20"/>
          <w:szCs w:val="20"/>
        </w:rPr>
      </w:pPr>
    </w:p>
    <w:p w:rsidR="003D004B" w:rsidRPr="00FD517C" w:rsidRDefault="003D004B" w:rsidP="003D004B">
      <w:pPr>
        <w:pStyle w:val="BlockText"/>
        <w:spacing w:after="60"/>
        <w:ind w:right="0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z w:val="20"/>
        </w:rPr>
        <w:t>1.</w:t>
      </w:r>
      <w:r w:rsidRPr="00FD517C">
        <w:rPr>
          <w:rFonts w:ascii="Calibri" w:hAnsi="Calibri"/>
          <w:color w:val="000000"/>
          <w:sz w:val="20"/>
        </w:rPr>
        <w:tab/>
        <w:t>In accordance with the provisions of</w:t>
      </w:r>
      <w:r w:rsidR="00F00380">
        <w:rPr>
          <w:rFonts w:ascii="Calibri" w:hAnsi="Calibri"/>
          <w:color w:val="000000"/>
          <w:sz w:val="20"/>
        </w:rPr>
        <w:t xml:space="preserve"> </w:t>
      </w:r>
      <w:r w:rsidR="00F00380" w:rsidRPr="00F00380">
        <w:rPr>
          <w:rFonts w:ascii="Calibri" w:hAnsi="Calibri"/>
          <w:color w:val="000000"/>
          <w:sz w:val="20"/>
        </w:rPr>
        <w:t>Royal Charter and its bye-laws (Bye-law 5 (5.4))</w:t>
      </w:r>
      <w:r w:rsidRPr="00F00380">
        <w:rPr>
          <w:rFonts w:ascii="Calibri" w:hAnsi="Calibri"/>
          <w:color w:val="000000"/>
          <w:sz w:val="20"/>
        </w:rPr>
        <w:t>,</w:t>
      </w:r>
      <w:r w:rsidRPr="00FD517C">
        <w:rPr>
          <w:rFonts w:ascii="Calibri" w:hAnsi="Calibri"/>
          <w:color w:val="000000"/>
          <w:sz w:val="20"/>
        </w:rPr>
        <w:t xml:space="preserve"> the Council has established a Finance Committee which shall consist of the persons following, namely:</w:t>
      </w:r>
    </w:p>
    <w:p w:rsidR="003D004B" w:rsidRPr="00FD517C" w:rsidRDefault="003D004B" w:rsidP="003D004B">
      <w:pPr>
        <w:tabs>
          <w:tab w:val="left" w:pos="720"/>
        </w:tabs>
        <w:spacing w:after="40"/>
        <w:ind w:left="714" w:hanging="357"/>
        <w:jc w:val="both"/>
        <w:rPr>
          <w:rFonts w:ascii="Calibri" w:hAnsi="Calibri"/>
          <w:color w:val="000000"/>
          <w:sz w:val="20"/>
          <w:szCs w:val="20"/>
          <w:highlight w:val="red"/>
        </w:rPr>
      </w:pPr>
      <w:r w:rsidRPr="00FD517C">
        <w:rPr>
          <w:rFonts w:ascii="Calibri" w:hAnsi="Calibri"/>
          <w:color w:val="000000"/>
          <w:sz w:val="20"/>
          <w:szCs w:val="20"/>
        </w:rPr>
        <w:t>(i)</w:t>
      </w:r>
      <w:r w:rsidRPr="00FD517C">
        <w:rPr>
          <w:rFonts w:ascii="Calibri" w:hAnsi="Calibri"/>
          <w:color w:val="000000"/>
          <w:sz w:val="20"/>
          <w:szCs w:val="20"/>
        </w:rPr>
        <w:tab/>
        <w:t xml:space="preserve">Members </w:t>
      </w:r>
      <w:r w:rsidRPr="00FD517C">
        <w:rPr>
          <w:rFonts w:ascii="Calibri" w:hAnsi="Calibri"/>
          <w:i/>
          <w:color w:val="000000"/>
          <w:sz w:val="20"/>
          <w:szCs w:val="20"/>
        </w:rPr>
        <w:t>ex officio</w:t>
      </w:r>
      <w:r w:rsidRPr="00FD517C">
        <w:rPr>
          <w:rFonts w:ascii="Calibri" w:hAnsi="Calibri"/>
          <w:color w:val="000000"/>
          <w:sz w:val="20"/>
          <w:szCs w:val="20"/>
        </w:rPr>
        <w:t>:</w:t>
      </w:r>
    </w:p>
    <w:p w:rsidR="003D004B" w:rsidRPr="00FD517C" w:rsidRDefault="003D004B" w:rsidP="003D004B">
      <w:pPr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 w:rsidRPr="00FD517C">
        <w:rPr>
          <w:rFonts w:ascii="Calibri" w:hAnsi="Calibri"/>
          <w:color w:val="000000"/>
          <w:sz w:val="20"/>
          <w:szCs w:val="20"/>
        </w:rPr>
        <w:tab/>
        <w:t>The Treasurer (who shall be Chair)</w:t>
      </w:r>
    </w:p>
    <w:p w:rsidR="003D004B" w:rsidRPr="00FD517C" w:rsidRDefault="003D004B" w:rsidP="003D004B">
      <w:pPr>
        <w:pStyle w:val="para2"/>
        <w:spacing w:before="0" w:after="60"/>
        <w:ind w:left="714" w:hanging="357"/>
        <w:rPr>
          <w:rFonts w:ascii="Calibri" w:hAnsi="Calibri"/>
          <w:noProof w:val="0"/>
          <w:color w:val="000000"/>
          <w:sz w:val="20"/>
        </w:rPr>
      </w:pPr>
      <w:r w:rsidRPr="00FD517C">
        <w:rPr>
          <w:rFonts w:ascii="Calibri" w:hAnsi="Calibri"/>
          <w:noProof w:val="0"/>
          <w:color w:val="000000"/>
          <w:sz w:val="20"/>
        </w:rPr>
        <w:tab/>
      </w:r>
      <w:r w:rsidRPr="00FD517C">
        <w:rPr>
          <w:rFonts w:ascii="Calibri" w:hAnsi="Calibri"/>
          <w:noProof w:val="0"/>
          <w:color w:val="000000"/>
          <w:sz w:val="20"/>
        </w:rPr>
        <w:tab/>
        <w:t>The General Secretary</w:t>
      </w:r>
    </w:p>
    <w:p w:rsidR="003D004B" w:rsidRPr="00FD517C" w:rsidRDefault="003D004B" w:rsidP="003D004B">
      <w:pPr>
        <w:pStyle w:val="para2"/>
        <w:spacing w:before="0" w:after="40"/>
        <w:ind w:left="714" w:hanging="357"/>
        <w:rPr>
          <w:rFonts w:ascii="Calibri" w:hAnsi="Calibri"/>
          <w:noProof w:val="0"/>
          <w:color w:val="000000"/>
          <w:sz w:val="20"/>
        </w:rPr>
      </w:pPr>
      <w:r w:rsidRPr="00FD517C">
        <w:rPr>
          <w:rFonts w:ascii="Calibri" w:hAnsi="Calibri"/>
          <w:noProof w:val="0"/>
          <w:color w:val="000000"/>
          <w:sz w:val="20"/>
        </w:rPr>
        <w:tab/>
        <w:t>(ii)</w:t>
      </w:r>
      <w:r w:rsidRPr="00FD517C">
        <w:rPr>
          <w:rFonts w:ascii="Calibri" w:hAnsi="Calibri"/>
          <w:noProof w:val="0"/>
          <w:color w:val="000000"/>
          <w:sz w:val="20"/>
        </w:rPr>
        <w:tab/>
        <w:t xml:space="preserve">Three members appointed by the Council from among the </w:t>
      </w:r>
      <w:r w:rsidR="00D839EA">
        <w:rPr>
          <w:rFonts w:ascii="Calibri" w:hAnsi="Calibri"/>
          <w:noProof w:val="0"/>
          <w:color w:val="000000"/>
          <w:sz w:val="20"/>
        </w:rPr>
        <w:t>Fellowship.</w:t>
      </w:r>
    </w:p>
    <w:p w:rsidR="003D004B" w:rsidRPr="00FD517C" w:rsidRDefault="003D004B" w:rsidP="003D004B">
      <w:pPr>
        <w:pStyle w:val="para2"/>
        <w:tabs>
          <w:tab w:val="left" w:pos="720"/>
        </w:tabs>
        <w:spacing w:before="0" w:after="120"/>
        <w:rPr>
          <w:rFonts w:ascii="Calibri" w:hAnsi="Calibri"/>
          <w:bCs/>
          <w:noProof w:val="0"/>
          <w:color w:val="000000"/>
          <w:sz w:val="20"/>
        </w:rPr>
      </w:pPr>
      <w:r w:rsidRPr="00FD517C">
        <w:rPr>
          <w:rFonts w:ascii="Calibri" w:hAnsi="Calibri"/>
          <w:bCs/>
          <w:color w:val="000000"/>
          <w:spacing w:val="-3"/>
          <w:sz w:val="20"/>
        </w:rPr>
        <w:t>(iii)</w:t>
      </w:r>
      <w:r w:rsidRPr="00FD517C">
        <w:rPr>
          <w:rFonts w:ascii="Calibri" w:hAnsi="Calibri"/>
          <w:bCs/>
          <w:color w:val="000000"/>
          <w:spacing w:val="-3"/>
          <w:sz w:val="20"/>
        </w:rPr>
        <w:tab/>
        <w:t>Such other person or persons not exceeding two in number as the Committee may think fit to co-opt as members</w:t>
      </w:r>
      <w:r w:rsidR="00D839EA">
        <w:rPr>
          <w:rFonts w:ascii="Calibri" w:hAnsi="Calibri"/>
          <w:bCs/>
          <w:color w:val="000000"/>
          <w:spacing w:val="-3"/>
          <w:sz w:val="20"/>
        </w:rPr>
        <w:t>.</w:t>
      </w:r>
    </w:p>
    <w:p w:rsidR="003D004B" w:rsidRDefault="003D004B" w:rsidP="00F675B6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="Calibri" w:hAnsi="Calibri"/>
          <w:color w:val="000000"/>
          <w:sz w:val="20"/>
          <w:szCs w:val="20"/>
        </w:rPr>
      </w:pPr>
      <w:r w:rsidRPr="00F675B6">
        <w:rPr>
          <w:rFonts w:ascii="Calibri" w:hAnsi="Calibri"/>
          <w:color w:val="000000"/>
          <w:sz w:val="20"/>
          <w:szCs w:val="20"/>
        </w:rPr>
        <w:t>In the absence of the Treasurer, the General Secretary shall Chair the meeting; in the absence of both the Treasurer and the General Secretary, one of the other members shall Chair the meeting.</w:t>
      </w:r>
    </w:p>
    <w:p w:rsidR="00F675B6" w:rsidRPr="00F675B6" w:rsidRDefault="00F675B6" w:rsidP="00F675B6">
      <w:pPr>
        <w:pStyle w:val="ListParagraph"/>
        <w:tabs>
          <w:tab w:val="left" w:pos="360"/>
        </w:tabs>
        <w:spacing w:after="120"/>
        <w:ind w:left="360"/>
        <w:jc w:val="both"/>
        <w:rPr>
          <w:rFonts w:ascii="Calibri" w:hAnsi="Calibri"/>
          <w:color w:val="000000"/>
          <w:sz w:val="20"/>
          <w:szCs w:val="20"/>
        </w:rPr>
      </w:pPr>
    </w:p>
    <w:p w:rsidR="00F675B6" w:rsidRPr="00F675B6" w:rsidRDefault="00F675B6" w:rsidP="00F675B6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The Quorum for meetings of the Committee shall be 3.</w:t>
      </w:r>
    </w:p>
    <w:p w:rsidR="00F675B6" w:rsidRDefault="00F675B6" w:rsidP="00F675B6">
      <w:pPr>
        <w:pStyle w:val="para1"/>
        <w:numPr>
          <w:ilvl w:val="0"/>
          <w:numId w:val="2"/>
        </w:numPr>
        <w:tabs>
          <w:tab w:val="num" w:pos="426"/>
        </w:tabs>
        <w:spacing w:before="0" w:after="120"/>
        <w:rPr>
          <w:rFonts w:ascii="Calibri" w:hAnsi="Calibri"/>
          <w:noProof w:val="0"/>
          <w:color w:val="000000"/>
          <w:sz w:val="20"/>
        </w:rPr>
      </w:pPr>
      <w:r w:rsidRPr="00F675B6">
        <w:rPr>
          <w:rFonts w:ascii="Calibri" w:hAnsi="Calibri"/>
          <w:noProof w:val="0"/>
          <w:color w:val="000000"/>
          <w:sz w:val="20"/>
        </w:rPr>
        <w:t>Appointed and co-opted members shall serve for a term of three years, or such shorter period as the appointing body may decide.  They shall be eligible to serve for not more than two consecutive terms, following which a further period of three years shall elapse before any such member shall be eligible for re-appointment.</w:t>
      </w:r>
    </w:p>
    <w:p w:rsidR="00F675B6" w:rsidRDefault="00F675B6" w:rsidP="00F675B6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0"/>
          <w:szCs w:val="20"/>
          <w:lang w:eastAsia="en-US"/>
        </w:rPr>
      </w:pPr>
      <w:r w:rsidRPr="00F675B6">
        <w:rPr>
          <w:rFonts w:ascii="Calibri" w:eastAsia="Calibri" w:hAnsi="Calibri"/>
          <w:color w:val="000000"/>
          <w:sz w:val="20"/>
          <w:szCs w:val="20"/>
          <w:lang w:eastAsia="en-US"/>
        </w:rPr>
        <w:t>The Committee, when appointing members to its Committee shall be mindful of the Society’s commitment to the Equality Act 2010, subject distribution and geographical distribution.</w:t>
      </w:r>
    </w:p>
    <w:p w:rsidR="008C2B82" w:rsidRPr="00F675B6" w:rsidRDefault="008C2B82" w:rsidP="008C2B82">
      <w:pPr>
        <w:pStyle w:val="ListParagraph"/>
        <w:ind w:left="360"/>
        <w:rPr>
          <w:rFonts w:ascii="Calibri" w:eastAsia="Calibri" w:hAnsi="Calibri"/>
          <w:color w:val="000000"/>
          <w:sz w:val="20"/>
          <w:szCs w:val="20"/>
          <w:lang w:eastAsia="en-US"/>
        </w:rPr>
      </w:pPr>
    </w:p>
    <w:p w:rsidR="00F675B6" w:rsidRDefault="003D004B" w:rsidP="00B07DBE">
      <w:pPr>
        <w:pStyle w:val="BodyText1"/>
        <w:numPr>
          <w:ilvl w:val="0"/>
          <w:numId w:val="2"/>
        </w:numPr>
        <w:tabs>
          <w:tab w:val="left" w:pos="360"/>
        </w:tabs>
        <w:spacing w:after="120"/>
        <w:rPr>
          <w:rFonts w:ascii="Calibri" w:hAnsi="Calibri"/>
          <w:color w:val="000000"/>
          <w:sz w:val="20"/>
        </w:rPr>
      </w:pPr>
      <w:r w:rsidRPr="00F675B6">
        <w:rPr>
          <w:rFonts w:ascii="Calibri" w:hAnsi="Calibri"/>
          <w:color w:val="000000"/>
          <w:sz w:val="20"/>
        </w:rPr>
        <w:t>Subject to the provisions of the</w:t>
      </w:r>
      <w:r w:rsidR="00F00380">
        <w:rPr>
          <w:rFonts w:ascii="Calibri" w:hAnsi="Calibri"/>
          <w:color w:val="000000"/>
          <w:sz w:val="20"/>
        </w:rPr>
        <w:t xml:space="preserve"> Royal Charter and its bye-laws</w:t>
      </w:r>
      <w:r w:rsidRPr="00F675B6">
        <w:rPr>
          <w:rFonts w:ascii="Calibri" w:hAnsi="Calibri"/>
          <w:color w:val="000000"/>
          <w:sz w:val="20"/>
        </w:rPr>
        <w:t xml:space="preserve">, the Finance Committee shall consider any matter relating to the finances, accounts, investments, property and business of the Society and shall submit reports and recommendations thereon to the Council. </w:t>
      </w:r>
    </w:p>
    <w:p w:rsidR="003D004B" w:rsidRPr="00FD517C" w:rsidRDefault="00F675B6" w:rsidP="003D004B">
      <w:pPr>
        <w:pStyle w:val="BodyText1"/>
        <w:tabs>
          <w:tab w:val="left" w:pos="360"/>
        </w:tabs>
        <w:spacing w:after="60"/>
        <w:ind w:left="360" w:hanging="36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7</w:t>
      </w:r>
      <w:r w:rsidR="003D004B" w:rsidRPr="00FD517C">
        <w:rPr>
          <w:rFonts w:ascii="Calibri" w:hAnsi="Calibri"/>
          <w:color w:val="000000"/>
          <w:sz w:val="20"/>
        </w:rPr>
        <w:t>.</w:t>
      </w:r>
      <w:r w:rsidR="003D004B" w:rsidRPr="00FD517C">
        <w:rPr>
          <w:rFonts w:ascii="Calibri" w:hAnsi="Calibri"/>
          <w:color w:val="000000"/>
          <w:sz w:val="20"/>
        </w:rPr>
        <w:tab/>
      </w:r>
      <w:r w:rsidR="003D004B" w:rsidRPr="00FD517C">
        <w:rPr>
          <w:rFonts w:ascii="Calibri" w:hAnsi="Calibri"/>
          <w:color w:val="000000"/>
          <w:spacing w:val="-2"/>
          <w:sz w:val="20"/>
        </w:rPr>
        <w:t>In the discharge of its duties, and in addition to any other functions relevant to the financial duties of the Society</w:t>
      </w:r>
      <w:r w:rsidR="008C2B82">
        <w:rPr>
          <w:rFonts w:ascii="Calibri" w:hAnsi="Calibri"/>
          <w:color w:val="000000"/>
          <w:spacing w:val="-2"/>
          <w:sz w:val="20"/>
        </w:rPr>
        <w:t>,</w:t>
      </w:r>
      <w:r w:rsidR="003D004B" w:rsidRPr="00FD517C">
        <w:rPr>
          <w:rFonts w:ascii="Calibri" w:hAnsi="Calibri"/>
          <w:color w:val="000000"/>
          <w:spacing w:val="-2"/>
          <w:sz w:val="20"/>
        </w:rPr>
        <w:t xml:space="preserve"> Council shall exercise further to paragraph (4) above, the Committee shall advise the Society</w:t>
      </w:r>
      <w:r>
        <w:rPr>
          <w:rFonts w:ascii="Calibri" w:hAnsi="Calibri"/>
          <w:color w:val="000000"/>
          <w:spacing w:val="-2"/>
          <w:sz w:val="20"/>
        </w:rPr>
        <w:t>’s</w:t>
      </w:r>
      <w:r w:rsidR="003D004B" w:rsidRPr="00FD517C">
        <w:rPr>
          <w:rFonts w:ascii="Calibri" w:hAnsi="Calibri"/>
          <w:color w:val="000000"/>
          <w:spacing w:val="-2"/>
          <w:sz w:val="20"/>
        </w:rPr>
        <w:t xml:space="preserve"> Council regarding:</w:t>
      </w:r>
    </w:p>
    <w:p w:rsidR="003D004B" w:rsidRPr="00FD517C" w:rsidRDefault="003D004B" w:rsidP="003D004B">
      <w:pPr>
        <w:pStyle w:val="BodyText1"/>
        <w:numPr>
          <w:ilvl w:val="0"/>
          <w:numId w:val="1"/>
        </w:numPr>
        <w:tabs>
          <w:tab w:val="left" w:pos="720"/>
        </w:tabs>
        <w:spacing w:after="60"/>
        <w:ind w:left="107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z w:val="20"/>
        </w:rPr>
        <w:t>the overall financial policy of the Society;</w:t>
      </w:r>
    </w:p>
    <w:p w:rsidR="003D004B" w:rsidRPr="00FD517C" w:rsidRDefault="003D004B" w:rsidP="003D004B">
      <w:pPr>
        <w:tabs>
          <w:tab w:val="left" w:pos="720"/>
          <w:tab w:val="num" w:pos="1440"/>
        </w:tabs>
        <w:spacing w:after="60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 w:rsidRPr="00FD517C">
        <w:rPr>
          <w:rFonts w:ascii="Calibri" w:hAnsi="Calibri"/>
          <w:color w:val="000000"/>
          <w:spacing w:val="-4"/>
          <w:sz w:val="20"/>
          <w:szCs w:val="20"/>
        </w:rPr>
        <w:t>(ii)</w:t>
      </w:r>
      <w:r w:rsidRPr="00FD517C">
        <w:rPr>
          <w:rFonts w:ascii="Calibri" w:hAnsi="Calibri"/>
          <w:color w:val="000000"/>
          <w:sz w:val="20"/>
          <w:szCs w:val="20"/>
        </w:rPr>
        <w:tab/>
        <w:t>the Society’s strategic plan, with particular reference to resource implications;</w:t>
      </w:r>
    </w:p>
    <w:p w:rsidR="003D004B" w:rsidRPr="00FD517C" w:rsidRDefault="003D004B" w:rsidP="003D004B">
      <w:pPr>
        <w:pStyle w:val="BodyText1"/>
        <w:tabs>
          <w:tab w:val="left" w:pos="720"/>
        </w:tabs>
        <w:spacing w:after="60"/>
        <w:ind w:left="714" w:hanging="35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z w:val="20"/>
        </w:rPr>
        <w:t>(iii)</w:t>
      </w:r>
      <w:r w:rsidRPr="00FD517C">
        <w:rPr>
          <w:rFonts w:ascii="Calibri" w:hAnsi="Calibri"/>
          <w:color w:val="000000"/>
          <w:sz w:val="20"/>
        </w:rPr>
        <w:tab/>
        <w:t>the financial management of the Society and its operations;</w:t>
      </w:r>
    </w:p>
    <w:p w:rsidR="003D004B" w:rsidRPr="00FD517C" w:rsidRDefault="003D004B" w:rsidP="003D004B">
      <w:pPr>
        <w:pStyle w:val="BodyText1"/>
        <w:tabs>
          <w:tab w:val="left" w:pos="720"/>
        </w:tabs>
        <w:spacing w:after="60"/>
        <w:ind w:left="714" w:hanging="35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z w:val="20"/>
        </w:rPr>
        <w:t>(iv)</w:t>
      </w:r>
      <w:r w:rsidRPr="00FD517C">
        <w:rPr>
          <w:rFonts w:ascii="Calibri" w:hAnsi="Calibri"/>
          <w:color w:val="000000"/>
          <w:sz w:val="20"/>
        </w:rPr>
        <w:tab/>
        <w:t>activities relating to the fund-raising and the securing of adequate resources to enable those operations to be taken forward in accordance with the strategic plan;</w:t>
      </w:r>
    </w:p>
    <w:p w:rsidR="003D004B" w:rsidRPr="00FD517C" w:rsidRDefault="003D004B" w:rsidP="003D004B">
      <w:pPr>
        <w:tabs>
          <w:tab w:val="left" w:pos="720"/>
        </w:tabs>
        <w:spacing w:after="60"/>
        <w:ind w:left="714" w:hanging="357"/>
        <w:jc w:val="both"/>
        <w:rPr>
          <w:rFonts w:ascii="Calibri" w:hAnsi="Calibri"/>
          <w:color w:val="000000"/>
          <w:sz w:val="20"/>
          <w:szCs w:val="20"/>
        </w:rPr>
      </w:pPr>
      <w:r w:rsidRPr="00FD517C">
        <w:rPr>
          <w:rFonts w:ascii="Calibri" w:hAnsi="Calibri"/>
          <w:color w:val="000000"/>
          <w:sz w:val="20"/>
          <w:szCs w:val="20"/>
        </w:rPr>
        <w:t>(v)</w:t>
      </w:r>
      <w:r w:rsidRPr="00FD517C">
        <w:rPr>
          <w:rFonts w:ascii="Calibri" w:hAnsi="Calibri"/>
          <w:color w:val="000000"/>
          <w:sz w:val="20"/>
          <w:szCs w:val="20"/>
        </w:rPr>
        <w:tab/>
        <w:t>the annual Accounts of the Society;</w:t>
      </w:r>
    </w:p>
    <w:p w:rsidR="003D004B" w:rsidRPr="00FD517C" w:rsidRDefault="003D004B" w:rsidP="003D004B">
      <w:pPr>
        <w:pStyle w:val="BodyText1"/>
        <w:tabs>
          <w:tab w:val="left" w:pos="720"/>
        </w:tabs>
        <w:spacing w:after="60"/>
        <w:ind w:left="714" w:hanging="35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z w:val="20"/>
        </w:rPr>
        <w:t>(vi)</w:t>
      </w:r>
      <w:r w:rsidRPr="00FD517C">
        <w:rPr>
          <w:rFonts w:ascii="Calibri" w:hAnsi="Calibri"/>
          <w:color w:val="000000"/>
          <w:sz w:val="20"/>
        </w:rPr>
        <w:tab/>
        <w:t>the annual financial estimates and projections for the Society’s operations;</w:t>
      </w:r>
    </w:p>
    <w:p w:rsidR="003D004B" w:rsidRPr="00FD517C" w:rsidRDefault="003D004B" w:rsidP="003D004B">
      <w:pPr>
        <w:pStyle w:val="BodyText1"/>
        <w:tabs>
          <w:tab w:val="left" w:pos="720"/>
        </w:tabs>
        <w:spacing w:after="60"/>
        <w:ind w:left="714" w:hanging="35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z w:val="20"/>
        </w:rPr>
        <w:t>(vii)</w:t>
      </w:r>
      <w:r w:rsidRPr="00FD517C">
        <w:rPr>
          <w:rFonts w:ascii="Calibri" w:hAnsi="Calibri"/>
          <w:color w:val="000000"/>
          <w:sz w:val="20"/>
        </w:rPr>
        <w:tab/>
        <w:t>short term budgets and the extent to which they accord with agreed longer term plans and the extent to which they are followed;</w:t>
      </w:r>
    </w:p>
    <w:p w:rsidR="003D004B" w:rsidRPr="00FD517C" w:rsidRDefault="003D004B" w:rsidP="003D004B">
      <w:pPr>
        <w:pStyle w:val="BodyText1"/>
        <w:tabs>
          <w:tab w:val="left" w:pos="720"/>
          <w:tab w:val="num" w:pos="1440"/>
        </w:tabs>
        <w:spacing w:after="60"/>
        <w:ind w:left="714" w:hanging="35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pacing w:val="-2"/>
          <w:sz w:val="20"/>
        </w:rPr>
        <w:t>(viii)</w:t>
      </w:r>
      <w:r w:rsidR="008C2B82">
        <w:rPr>
          <w:rFonts w:ascii="Calibri" w:hAnsi="Calibri"/>
          <w:color w:val="000000"/>
          <w:spacing w:val="-2"/>
          <w:sz w:val="20"/>
        </w:rPr>
        <w:t xml:space="preserve"> </w:t>
      </w:r>
      <w:proofErr w:type="gramStart"/>
      <w:r w:rsidRPr="00FD517C">
        <w:rPr>
          <w:rFonts w:ascii="Calibri" w:hAnsi="Calibri"/>
          <w:color w:val="000000"/>
          <w:sz w:val="20"/>
        </w:rPr>
        <w:t>cash</w:t>
      </w:r>
      <w:proofErr w:type="gramEnd"/>
      <w:r w:rsidRPr="00FD517C">
        <w:rPr>
          <w:rFonts w:ascii="Calibri" w:hAnsi="Calibri"/>
          <w:color w:val="000000"/>
          <w:sz w:val="20"/>
        </w:rPr>
        <w:t xml:space="preserve"> flow projections and investment of short term monies, in line with the Society’s treasury management policies; the management of the Society’s funds, including the allocation of resources between academic and non-academic areas of the Society’s activities;</w:t>
      </w:r>
    </w:p>
    <w:p w:rsidR="003D004B" w:rsidRPr="00FD517C" w:rsidRDefault="003D004B" w:rsidP="003D004B">
      <w:pPr>
        <w:spacing w:after="60"/>
        <w:ind w:left="357" w:firstLine="6"/>
        <w:jc w:val="both"/>
        <w:rPr>
          <w:rFonts w:ascii="Calibri" w:hAnsi="Calibri"/>
          <w:color w:val="000000"/>
          <w:sz w:val="20"/>
          <w:szCs w:val="20"/>
        </w:rPr>
      </w:pPr>
      <w:r w:rsidRPr="00FD517C">
        <w:rPr>
          <w:rFonts w:ascii="Calibri" w:hAnsi="Calibri"/>
          <w:color w:val="000000"/>
          <w:spacing w:val="-6"/>
          <w:sz w:val="20"/>
          <w:szCs w:val="20"/>
        </w:rPr>
        <w:t>(ix)</w:t>
      </w:r>
      <w:r w:rsidRPr="00FD517C">
        <w:rPr>
          <w:rFonts w:ascii="Calibri" w:hAnsi="Calibri"/>
          <w:color w:val="000000"/>
          <w:spacing w:val="-6"/>
          <w:sz w:val="20"/>
          <w:szCs w:val="20"/>
        </w:rPr>
        <w:tab/>
      </w:r>
      <w:r w:rsidRPr="00FD517C">
        <w:rPr>
          <w:rFonts w:ascii="Calibri" w:hAnsi="Calibri"/>
          <w:color w:val="000000"/>
          <w:sz w:val="20"/>
          <w:szCs w:val="20"/>
        </w:rPr>
        <w:t>the Society’s capital programme;</w:t>
      </w:r>
    </w:p>
    <w:p w:rsidR="003D004B" w:rsidRPr="00FD517C" w:rsidRDefault="003D004B" w:rsidP="003D004B">
      <w:pPr>
        <w:pStyle w:val="BodyText1"/>
        <w:tabs>
          <w:tab w:val="left" w:pos="720"/>
          <w:tab w:val="num" w:pos="1440"/>
        </w:tabs>
        <w:spacing w:after="60"/>
        <w:ind w:left="714" w:hanging="357"/>
        <w:rPr>
          <w:rFonts w:ascii="Calibri" w:hAnsi="Calibri"/>
          <w:sz w:val="20"/>
        </w:rPr>
      </w:pPr>
      <w:r w:rsidRPr="00FD517C">
        <w:rPr>
          <w:rFonts w:ascii="Calibri" w:hAnsi="Calibri"/>
          <w:sz w:val="20"/>
        </w:rPr>
        <w:t>(x)</w:t>
      </w:r>
      <w:r w:rsidRPr="00FD517C">
        <w:rPr>
          <w:rFonts w:ascii="Calibri" w:hAnsi="Calibri"/>
          <w:sz w:val="20"/>
        </w:rPr>
        <w:tab/>
      </w:r>
      <w:r w:rsidRPr="00FD517C">
        <w:rPr>
          <w:rFonts w:ascii="Calibri" w:hAnsi="Calibri"/>
          <w:sz w:val="20"/>
        </w:rPr>
        <w:tab/>
        <w:t>the necessary arrangements in connection with the Society’s bank accounts, insurances, borrowing, investments, professional advisers and other such matters;</w:t>
      </w:r>
    </w:p>
    <w:p w:rsidR="003D004B" w:rsidRPr="00FD517C" w:rsidRDefault="003D004B" w:rsidP="003D004B">
      <w:pPr>
        <w:pStyle w:val="BodyText1"/>
        <w:spacing w:after="60"/>
        <w:ind w:left="720" w:hanging="360"/>
        <w:rPr>
          <w:rFonts w:ascii="Calibri" w:hAnsi="Calibri"/>
          <w:color w:val="000000"/>
          <w:spacing w:val="-6"/>
          <w:sz w:val="20"/>
        </w:rPr>
      </w:pPr>
      <w:r w:rsidRPr="00FD517C">
        <w:rPr>
          <w:rFonts w:ascii="Calibri" w:hAnsi="Calibri"/>
          <w:color w:val="000000"/>
          <w:spacing w:val="-6"/>
          <w:sz w:val="20"/>
        </w:rPr>
        <w:t>(xi)</w:t>
      </w:r>
      <w:r w:rsidRPr="00FD517C">
        <w:rPr>
          <w:rFonts w:ascii="Calibri" w:hAnsi="Calibri"/>
          <w:color w:val="000000"/>
          <w:sz w:val="20"/>
        </w:rPr>
        <w:tab/>
        <w:t>the management of the Society’s estate, including buildings, furnishings and equipment and the financing thereof;</w:t>
      </w:r>
      <w:r w:rsidRPr="00FD517C">
        <w:rPr>
          <w:rFonts w:ascii="Calibri" w:hAnsi="Calibri"/>
          <w:color w:val="000000"/>
          <w:spacing w:val="-6"/>
          <w:sz w:val="20"/>
        </w:rPr>
        <w:t xml:space="preserve"> </w:t>
      </w:r>
    </w:p>
    <w:p w:rsidR="003D004B" w:rsidRPr="00FD517C" w:rsidRDefault="003D004B" w:rsidP="003D004B">
      <w:pPr>
        <w:pStyle w:val="BodyText1"/>
        <w:tabs>
          <w:tab w:val="left" w:pos="720"/>
          <w:tab w:val="num" w:pos="1440"/>
        </w:tabs>
        <w:spacing w:after="60"/>
        <w:ind w:left="720" w:hanging="360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pacing w:val="-2"/>
          <w:sz w:val="20"/>
        </w:rPr>
        <w:t>(xii)</w:t>
      </w:r>
      <w:r w:rsidRPr="00FD517C">
        <w:rPr>
          <w:rFonts w:ascii="Calibri" w:hAnsi="Calibri"/>
          <w:color w:val="000000"/>
          <w:sz w:val="20"/>
        </w:rPr>
        <w:tab/>
        <w:t>the Financial Regulations of the Society;</w:t>
      </w:r>
    </w:p>
    <w:p w:rsidR="003D004B" w:rsidRDefault="003D004B" w:rsidP="003D004B">
      <w:pPr>
        <w:pStyle w:val="BodyText1"/>
        <w:spacing w:after="120"/>
        <w:ind w:left="714" w:hanging="357"/>
        <w:rPr>
          <w:rFonts w:ascii="Calibri" w:hAnsi="Calibri"/>
          <w:color w:val="000000"/>
          <w:sz w:val="20"/>
        </w:rPr>
      </w:pPr>
      <w:r w:rsidRPr="00FD517C">
        <w:rPr>
          <w:rFonts w:ascii="Calibri" w:hAnsi="Calibri"/>
          <w:color w:val="000000"/>
          <w:spacing w:val="-12"/>
          <w:sz w:val="20"/>
        </w:rPr>
        <w:t>(xiii)</w:t>
      </w:r>
      <w:r w:rsidRPr="00FD517C">
        <w:rPr>
          <w:rFonts w:ascii="Calibri" w:hAnsi="Calibri"/>
          <w:color w:val="000000"/>
          <w:spacing w:val="-6"/>
          <w:sz w:val="20"/>
        </w:rPr>
        <w:tab/>
      </w:r>
      <w:r w:rsidRPr="00FD517C">
        <w:rPr>
          <w:rFonts w:ascii="Calibri" w:hAnsi="Calibri"/>
          <w:color w:val="000000"/>
          <w:sz w:val="20"/>
        </w:rPr>
        <w:t>the Society’s financial control systems, procedures and control environment.</w:t>
      </w:r>
    </w:p>
    <w:p w:rsidR="00F675B6" w:rsidRPr="00FD517C" w:rsidRDefault="00F675B6" w:rsidP="003D004B">
      <w:pPr>
        <w:pStyle w:val="BodyText1"/>
        <w:spacing w:after="120"/>
        <w:ind w:left="714" w:hanging="357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lastRenderedPageBreak/>
        <w:t>(ix) the Risk Management Register</w:t>
      </w:r>
    </w:p>
    <w:p w:rsidR="003D004B" w:rsidRPr="00FD517C" w:rsidRDefault="00F675B6" w:rsidP="003D004B">
      <w:pPr>
        <w:pStyle w:val="BodyText1"/>
        <w:tabs>
          <w:tab w:val="left" w:pos="360"/>
        </w:tabs>
        <w:spacing w:after="120"/>
        <w:ind w:left="360" w:hanging="360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8</w:t>
      </w:r>
      <w:r w:rsidR="003D004B" w:rsidRPr="00FD517C">
        <w:rPr>
          <w:rFonts w:ascii="Calibri" w:hAnsi="Calibri"/>
          <w:color w:val="000000"/>
          <w:sz w:val="20"/>
        </w:rPr>
        <w:t>.</w:t>
      </w:r>
      <w:r w:rsidR="003D004B" w:rsidRPr="00FD517C">
        <w:rPr>
          <w:rFonts w:ascii="Calibri" w:hAnsi="Calibri"/>
          <w:color w:val="000000"/>
          <w:sz w:val="20"/>
        </w:rPr>
        <w:tab/>
        <w:t>The Committee shall ensure that the Council has adequate information to enable it to discharge its financial responsibilities.</w:t>
      </w:r>
    </w:p>
    <w:p w:rsidR="003D004B" w:rsidRPr="00FD517C" w:rsidRDefault="00F675B6" w:rsidP="003D004B">
      <w:pPr>
        <w:pStyle w:val="PlainText"/>
        <w:ind w:left="360" w:hanging="360"/>
        <w:jc w:val="both"/>
        <w:rPr>
          <w:rFonts w:ascii="Calibri" w:hAnsi="Calibri"/>
          <w:color w:val="000000"/>
        </w:rPr>
      </w:pPr>
      <w:r>
        <w:rPr>
          <w:rFonts w:ascii="Calibri" w:hAnsi="Calibri" w:cs="Times New Roman"/>
          <w:color w:val="000000"/>
        </w:rPr>
        <w:t>9</w:t>
      </w:r>
      <w:r w:rsidR="003D004B" w:rsidRPr="00FD517C">
        <w:rPr>
          <w:rFonts w:ascii="Calibri" w:hAnsi="Calibri" w:cs="Times New Roman"/>
          <w:color w:val="000000"/>
        </w:rPr>
        <w:t>.</w:t>
      </w:r>
      <w:r w:rsidR="003D004B" w:rsidRPr="00FD517C">
        <w:rPr>
          <w:rFonts w:ascii="Calibri" w:hAnsi="Calibri" w:cs="Times New Roman"/>
          <w:color w:val="000000"/>
        </w:rPr>
        <w:tab/>
        <w:t>The</w:t>
      </w:r>
      <w:r w:rsidR="003D004B" w:rsidRPr="00FD517C">
        <w:rPr>
          <w:rFonts w:ascii="Calibri" w:hAnsi="Calibri"/>
          <w:color w:val="000000"/>
        </w:rPr>
        <w:t xml:space="preserve"> Committee shall exercise such delegated powers as may be granted to it by the Council, for such period and on such conditions as the Council may determine, in accordance with</w:t>
      </w:r>
      <w:r w:rsidR="00F00380">
        <w:rPr>
          <w:rFonts w:ascii="Calibri" w:hAnsi="Calibri"/>
          <w:color w:val="000000"/>
        </w:rPr>
        <w:t xml:space="preserve"> bye-law 5</w:t>
      </w:r>
      <w:r w:rsidR="003D004B" w:rsidRPr="00FD517C">
        <w:rPr>
          <w:rFonts w:ascii="Calibri" w:hAnsi="Calibri"/>
          <w:color w:val="000000"/>
        </w:rPr>
        <w:t>.4.</w:t>
      </w:r>
    </w:p>
    <w:sectPr w:rsidR="003D004B" w:rsidRPr="00FD517C" w:rsidSect="00FD517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0B" w:rsidRDefault="0046300B">
      <w:r>
        <w:separator/>
      </w:r>
    </w:p>
  </w:endnote>
  <w:endnote w:type="continuationSeparator" w:id="0">
    <w:p w:rsidR="0046300B" w:rsidRDefault="0046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ifr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8D" w:rsidRDefault="00795159" w:rsidP="00A000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A8D" w:rsidRDefault="00F003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8D" w:rsidRDefault="00795159" w:rsidP="00A000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380">
      <w:rPr>
        <w:rStyle w:val="PageNumber"/>
        <w:noProof/>
      </w:rPr>
      <w:t>1</w:t>
    </w:r>
    <w:r>
      <w:rPr>
        <w:rStyle w:val="PageNumber"/>
      </w:rPr>
      <w:fldChar w:fldCharType="end"/>
    </w:r>
  </w:p>
  <w:p w:rsidR="001D1A8D" w:rsidRDefault="00F00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0B" w:rsidRDefault="0046300B">
      <w:r>
        <w:separator/>
      </w:r>
    </w:p>
  </w:footnote>
  <w:footnote w:type="continuationSeparator" w:id="0">
    <w:p w:rsidR="0046300B" w:rsidRDefault="0046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0E22"/>
    <w:multiLevelType w:val="hybridMultilevel"/>
    <w:tmpl w:val="6576BBC0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2E93FC5"/>
    <w:multiLevelType w:val="hybridMultilevel"/>
    <w:tmpl w:val="025605F8"/>
    <w:lvl w:ilvl="0" w:tplc="61F2D6F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4B"/>
    <w:rsid w:val="000034C1"/>
    <w:rsid w:val="0000431D"/>
    <w:rsid w:val="000120D5"/>
    <w:rsid w:val="00015278"/>
    <w:rsid w:val="000227EE"/>
    <w:rsid w:val="00025BDB"/>
    <w:rsid w:val="00026500"/>
    <w:rsid w:val="00030E85"/>
    <w:rsid w:val="00033CEB"/>
    <w:rsid w:val="00034885"/>
    <w:rsid w:val="0005083F"/>
    <w:rsid w:val="00051B85"/>
    <w:rsid w:val="000606C9"/>
    <w:rsid w:val="000626D0"/>
    <w:rsid w:val="0007225E"/>
    <w:rsid w:val="000747D9"/>
    <w:rsid w:val="000761CC"/>
    <w:rsid w:val="0007673A"/>
    <w:rsid w:val="000772CE"/>
    <w:rsid w:val="00083C4D"/>
    <w:rsid w:val="0008564C"/>
    <w:rsid w:val="00095D4C"/>
    <w:rsid w:val="000A2688"/>
    <w:rsid w:val="000A5BA6"/>
    <w:rsid w:val="000B199F"/>
    <w:rsid w:val="000B1D49"/>
    <w:rsid w:val="000B39F7"/>
    <w:rsid w:val="000B73D9"/>
    <w:rsid w:val="000C1E83"/>
    <w:rsid w:val="000C61A2"/>
    <w:rsid w:val="000D50D6"/>
    <w:rsid w:val="000D6346"/>
    <w:rsid w:val="000D7216"/>
    <w:rsid w:val="000E4549"/>
    <w:rsid w:val="000F09FC"/>
    <w:rsid w:val="000F5053"/>
    <w:rsid w:val="000F7DD8"/>
    <w:rsid w:val="00104260"/>
    <w:rsid w:val="00104F65"/>
    <w:rsid w:val="00106956"/>
    <w:rsid w:val="00107FFB"/>
    <w:rsid w:val="00110563"/>
    <w:rsid w:val="00112033"/>
    <w:rsid w:val="00114DDB"/>
    <w:rsid w:val="001224AD"/>
    <w:rsid w:val="00143E08"/>
    <w:rsid w:val="0015177D"/>
    <w:rsid w:val="001538C5"/>
    <w:rsid w:val="00154FC8"/>
    <w:rsid w:val="001825BC"/>
    <w:rsid w:val="0018417F"/>
    <w:rsid w:val="001843AD"/>
    <w:rsid w:val="001845D7"/>
    <w:rsid w:val="001918D7"/>
    <w:rsid w:val="00196868"/>
    <w:rsid w:val="00196EF7"/>
    <w:rsid w:val="001979E7"/>
    <w:rsid w:val="001A5B06"/>
    <w:rsid w:val="001A7D1F"/>
    <w:rsid w:val="001B7314"/>
    <w:rsid w:val="001B7C9D"/>
    <w:rsid w:val="001C4410"/>
    <w:rsid w:val="001C5EFC"/>
    <w:rsid w:val="001C7304"/>
    <w:rsid w:val="001D4E8B"/>
    <w:rsid w:val="001D51F4"/>
    <w:rsid w:val="001D56B1"/>
    <w:rsid w:val="001D61A8"/>
    <w:rsid w:val="001D68FC"/>
    <w:rsid w:val="001E4DAF"/>
    <w:rsid w:val="001F427F"/>
    <w:rsid w:val="001F7083"/>
    <w:rsid w:val="002033C0"/>
    <w:rsid w:val="00204B7D"/>
    <w:rsid w:val="00210507"/>
    <w:rsid w:val="00214EFA"/>
    <w:rsid w:val="0021595F"/>
    <w:rsid w:val="002172E4"/>
    <w:rsid w:val="0022160B"/>
    <w:rsid w:val="00221E4F"/>
    <w:rsid w:val="0022380F"/>
    <w:rsid w:val="00223CDF"/>
    <w:rsid w:val="00240C7B"/>
    <w:rsid w:val="00246F89"/>
    <w:rsid w:val="00283594"/>
    <w:rsid w:val="00290215"/>
    <w:rsid w:val="00291374"/>
    <w:rsid w:val="0029140E"/>
    <w:rsid w:val="002973BA"/>
    <w:rsid w:val="002A0BE5"/>
    <w:rsid w:val="002A20FB"/>
    <w:rsid w:val="002B2245"/>
    <w:rsid w:val="002B63D2"/>
    <w:rsid w:val="002C3781"/>
    <w:rsid w:val="002D343D"/>
    <w:rsid w:val="002E5764"/>
    <w:rsid w:val="002E6CA3"/>
    <w:rsid w:val="002E7413"/>
    <w:rsid w:val="002F5E69"/>
    <w:rsid w:val="00307241"/>
    <w:rsid w:val="003122B0"/>
    <w:rsid w:val="003166D1"/>
    <w:rsid w:val="003201D3"/>
    <w:rsid w:val="00326C8B"/>
    <w:rsid w:val="00331279"/>
    <w:rsid w:val="0034008F"/>
    <w:rsid w:val="003416FC"/>
    <w:rsid w:val="003457FF"/>
    <w:rsid w:val="00345FAE"/>
    <w:rsid w:val="00346857"/>
    <w:rsid w:val="003544DF"/>
    <w:rsid w:val="00355FD3"/>
    <w:rsid w:val="00361761"/>
    <w:rsid w:val="0036383E"/>
    <w:rsid w:val="003640FA"/>
    <w:rsid w:val="0037285C"/>
    <w:rsid w:val="00374565"/>
    <w:rsid w:val="0037463D"/>
    <w:rsid w:val="00377DCE"/>
    <w:rsid w:val="00377F0D"/>
    <w:rsid w:val="003804E3"/>
    <w:rsid w:val="00387F41"/>
    <w:rsid w:val="00393E90"/>
    <w:rsid w:val="003A16D6"/>
    <w:rsid w:val="003A73CD"/>
    <w:rsid w:val="003B2CC5"/>
    <w:rsid w:val="003B5322"/>
    <w:rsid w:val="003C7DAD"/>
    <w:rsid w:val="003D004B"/>
    <w:rsid w:val="003E1B61"/>
    <w:rsid w:val="003E1D48"/>
    <w:rsid w:val="003E2266"/>
    <w:rsid w:val="003E322E"/>
    <w:rsid w:val="003E506F"/>
    <w:rsid w:val="003F0550"/>
    <w:rsid w:val="003F6ABB"/>
    <w:rsid w:val="003F6B1C"/>
    <w:rsid w:val="00403CEB"/>
    <w:rsid w:val="00405176"/>
    <w:rsid w:val="00405312"/>
    <w:rsid w:val="00410703"/>
    <w:rsid w:val="004117A4"/>
    <w:rsid w:val="00412AD6"/>
    <w:rsid w:val="0041767D"/>
    <w:rsid w:val="0042039E"/>
    <w:rsid w:val="00420F6D"/>
    <w:rsid w:val="00422CDD"/>
    <w:rsid w:val="00426190"/>
    <w:rsid w:val="00431684"/>
    <w:rsid w:val="00431EB8"/>
    <w:rsid w:val="00441F03"/>
    <w:rsid w:val="00444456"/>
    <w:rsid w:val="00454B5D"/>
    <w:rsid w:val="0046300B"/>
    <w:rsid w:val="00465498"/>
    <w:rsid w:val="00475B06"/>
    <w:rsid w:val="0048157E"/>
    <w:rsid w:val="00492086"/>
    <w:rsid w:val="00493A0A"/>
    <w:rsid w:val="004A2C5D"/>
    <w:rsid w:val="004A37B5"/>
    <w:rsid w:val="004B3B44"/>
    <w:rsid w:val="004C10AD"/>
    <w:rsid w:val="004C4A5D"/>
    <w:rsid w:val="004C59F5"/>
    <w:rsid w:val="004D187B"/>
    <w:rsid w:val="004D30E2"/>
    <w:rsid w:val="004D5627"/>
    <w:rsid w:val="004D6740"/>
    <w:rsid w:val="004D72F2"/>
    <w:rsid w:val="004E632B"/>
    <w:rsid w:val="004F0679"/>
    <w:rsid w:val="00502C21"/>
    <w:rsid w:val="0051025B"/>
    <w:rsid w:val="005111B3"/>
    <w:rsid w:val="00516E5A"/>
    <w:rsid w:val="00520490"/>
    <w:rsid w:val="005207BA"/>
    <w:rsid w:val="00520F47"/>
    <w:rsid w:val="005322C1"/>
    <w:rsid w:val="005345CE"/>
    <w:rsid w:val="00536036"/>
    <w:rsid w:val="00542AB7"/>
    <w:rsid w:val="005450DA"/>
    <w:rsid w:val="005457D0"/>
    <w:rsid w:val="00551362"/>
    <w:rsid w:val="00551E39"/>
    <w:rsid w:val="005541A1"/>
    <w:rsid w:val="0055504A"/>
    <w:rsid w:val="00560C04"/>
    <w:rsid w:val="005676E8"/>
    <w:rsid w:val="00570AF8"/>
    <w:rsid w:val="00570D9F"/>
    <w:rsid w:val="00573C0A"/>
    <w:rsid w:val="005764F2"/>
    <w:rsid w:val="00583CD9"/>
    <w:rsid w:val="00584C79"/>
    <w:rsid w:val="00586412"/>
    <w:rsid w:val="0059446D"/>
    <w:rsid w:val="00595CF4"/>
    <w:rsid w:val="00595FAD"/>
    <w:rsid w:val="00596C48"/>
    <w:rsid w:val="00596D4F"/>
    <w:rsid w:val="005A2AAA"/>
    <w:rsid w:val="005A5A4F"/>
    <w:rsid w:val="005B2300"/>
    <w:rsid w:val="005B7A7D"/>
    <w:rsid w:val="005C0188"/>
    <w:rsid w:val="005C450A"/>
    <w:rsid w:val="005D1FED"/>
    <w:rsid w:val="005D2A11"/>
    <w:rsid w:val="005D33F0"/>
    <w:rsid w:val="005E09AC"/>
    <w:rsid w:val="005E0F75"/>
    <w:rsid w:val="005E7E0D"/>
    <w:rsid w:val="005F3FEC"/>
    <w:rsid w:val="005F7B06"/>
    <w:rsid w:val="00600885"/>
    <w:rsid w:val="00600B2F"/>
    <w:rsid w:val="006048F4"/>
    <w:rsid w:val="00604BB9"/>
    <w:rsid w:val="006123C1"/>
    <w:rsid w:val="00614637"/>
    <w:rsid w:val="00615AE7"/>
    <w:rsid w:val="00616F4F"/>
    <w:rsid w:val="00624E82"/>
    <w:rsid w:val="00625763"/>
    <w:rsid w:val="00625BFE"/>
    <w:rsid w:val="00630D22"/>
    <w:rsid w:val="00635F3C"/>
    <w:rsid w:val="00641379"/>
    <w:rsid w:val="00642D1A"/>
    <w:rsid w:val="00655142"/>
    <w:rsid w:val="0067017F"/>
    <w:rsid w:val="006705ED"/>
    <w:rsid w:val="00671EC7"/>
    <w:rsid w:val="0067381D"/>
    <w:rsid w:val="0068234C"/>
    <w:rsid w:val="0069432F"/>
    <w:rsid w:val="006A0046"/>
    <w:rsid w:val="006A200A"/>
    <w:rsid w:val="006A7472"/>
    <w:rsid w:val="006B200F"/>
    <w:rsid w:val="006C0CFD"/>
    <w:rsid w:val="006C33F8"/>
    <w:rsid w:val="006C7840"/>
    <w:rsid w:val="006D0708"/>
    <w:rsid w:val="006D26AD"/>
    <w:rsid w:val="006D3833"/>
    <w:rsid w:val="006E58A7"/>
    <w:rsid w:val="006E6C57"/>
    <w:rsid w:val="00705C80"/>
    <w:rsid w:val="00715887"/>
    <w:rsid w:val="00720458"/>
    <w:rsid w:val="007233AF"/>
    <w:rsid w:val="00734FE8"/>
    <w:rsid w:val="0074034F"/>
    <w:rsid w:val="00740A18"/>
    <w:rsid w:val="00741190"/>
    <w:rsid w:val="0074278E"/>
    <w:rsid w:val="00744C85"/>
    <w:rsid w:val="00744C94"/>
    <w:rsid w:val="00745F60"/>
    <w:rsid w:val="00750AE4"/>
    <w:rsid w:val="0075178B"/>
    <w:rsid w:val="00753E41"/>
    <w:rsid w:val="00756B63"/>
    <w:rsid w:val="00762F37"/>
    <w:rsid w:val="00763004"/>
    <w:rsid w:val="0076763B"/>
    <w:rsid w:val="00767D31"/>
    <w:rsid w:val="0077570B"/>
    <w:rsid w:val="00775A0E"/>
    <w:rsid w:val="00776169"/>
    <w:rsid w:val="007871A5"/>
    <w:rsid w:val="00792D08"/>
    <w:rsid w:val="00795159"/>
    <w:rsid w:val="00796DF3"/>
    <w:rsid w:val="00796F23"/>
    <w:rsid w:val="007A0190"/>
    <w:rsid w:val="007A5F6F"/>
    <w:rsid w:val="007B6867"/>
    <w:rsid w:val="007C19A6"/>
    <w:rsid w:val="007C1C90"/>
    <w:rsid w:val="007D4199"/>
    <w:rsid w:val="007E1FEB"/>
    <w:rsid w:val="007E4DE0"/>
    <w:rsid w:val="007E5605"/>
    <w:rsid w:val="007E5F2F"/>
    <w:rsid w:val="007E7F5A"/>
    <w:rsid w:val="007F5075"/>
    <w:rsid w:val="008019BC"/>
    <w:rsid w:val="00805BC8"/>
    <w:rsid w:val="008124C7"/>
    <w:rsid w:val="008225AA"/>
    <w:rsid w:val="00824F25"/>
    <w:rsid w:val="00827BF9"/>
    <w:rsid w:val="008425AC"/>
    <w:rsid w:val="00844BD4"/>
    <w:rsid w:val="00844CE1"/>
    <w:rsid w:val="00850447"/>
    <w:rsid w:val="00853A12"/>
    <w:rsid w:val="00853F07"/>
    <w:rsid w:val="0085625D"/>
    <w:rsid w:val="00870942"/>
    <w:rsid w:val="00870FBE"/>
    <w:rsid w:val="0087646D"/>
    <w:rsid w:val="00881E9E"/>
    <w:rsid w:val="0088381A"/>
    <w:rsid w:val="008842BF"/>
    <w:rsid w:val="00884725"/>
    <w:rsid w:val="008878F6"/>
    <w:rsid w:val="00887D32"/>
    <w:rsid w:val="008914BC"/>
    <w:rsid w:val="00893579"/>
    <w:rsid w:val="008967BA"/>
    <w:rsid w:val="00897C80"/>
    <w:rsid w:val="00897D36"/>
    <w:rsid w:val="008A59C1"/>
    <w:rsid w:val="008B0D96"/>
    <w:rsid w:val="008C2B82"/>
    <w:rsid w:val="008C4F17"/>
    <w:rsid w:val="008C569B"/>
    <w:rsid w:val="008E138B"/>
    <w:rsid w:val="008E315A"/>
    <w:rsid w:val="008E3701"/>
    <w:rsid w:val="008E55AE"/>
    <w:rsid w:val="008E61DF"/>
    <w:rsid w:val="008F2358"/>
    <w:rsid w:val="008F56C3"/>
    <w:rsid w:val="008F6CB9"/>
    <w:rsid w:val="008F7FC6"/>
    <w:rsid w:val="0090595B"/>
    <w:rsid w:val="00907CB8"/>
    <w:rsid w:val="009157A7"/>
    <w:rsid w:val="0091724B"/>
    <w:rsid w:val="00922F09"/>
    <w:rsid w:val="00925A8A"/>
    <w:rsid w:val="00930040"/>
    <w:rsid w:val="00936EE6"/>
    <w:rsid w:val="00943AAB"/>
    <w:rsid w:val="00947BC5"/>
    <w:rsid w:val="00951AB0"/>
    <w:rsid w:val="0095221D"/>
    <w:rsid w:val="0095250A"/>
    <w:rsid w:val="00956E55"/>
    <w:rsid w:val="009616E0"/>
    <w:rsid w:val="009617C4"/>
    <w:rsid w:val="0097000F"/>
    <w:rsid w:val="00972D58"/>
    <w:rsid w:val="00973667"/>
    <w:rsid w:val="00995DC2"/>
    <w:rsid w:val="009966E5"/>
    <w:rsid w:val="00996F20"/>
    <w:rsid w:val="009A128F"/>
    <w:rsid w:val="009A4C24"/>
    <w:rsid w:val="009A5103"/>
    <w:rsid w:val="009B18E9"/>
    <w:rsid w:val="009B7AAD"/>
    <w:rsid w:val="009C0574"/>
    <w:rsid w:val="009C2B36"/>
    <w:rsid w:val="009C3202"/>
    <w:rsid w:val="009C4483"/>
    <w:rsid w:val="009C4837"/>
    <w:rsid w:val="009C7B4D"/>
    <w:rsid w:val="009D233B"/>
    <w:rsid w:val="009E7DC9"/>
    <w:rsid w:val="009F2761"/>
    <w:rsid w:val="00A02CA6"/>
    <w:rsid w:val="00A10236"/>
    <w:rsid w:val="00A11E57"/>
    <w:rsid w:val="00A132A8"/>
    <w:rsid w:val="00A17933"/>
    <w:rsid w:val="00A17BBE"/>
    <w:rsid w:val="00A30F38"/>
    <w:rsid w:val="00A33C4E"/>
    <w:rsid w:val="00A37B0B"/>
    <w:rsid w:val="00A50000"/>
    <w:rsid w:val="00A525B9"/>
    <w:rsid w:val="00A57B81"/>
    <w:rsid w:val="00A61F9E"/>
    <w:rsid w:val="00A662DA"/>
    <w:rsid w:val="00A67D29"/>
    <w:rsid w:val="00A736B9"/>
    <w:rsid w:val="00A80181"/>
    <w:rsid w:val="00A80FE9"/>
    <w:rsid w:val="00A818BF"/>
    <w:rsid w:val="00A82FA7"/>
    <w:rsid w:val="00A87EB3"/>
    <w:rsid w:val="00AB7384"/>
    <w:rsid w:val="00AC70D1"/>
    <w:rsid w:val="00AD00F0"/>
    <w:rsid w:val="00AD1CD1"/>
    <w:rsid w:val="00AD1EF5"/>
    <w:rsid w:val="00AD48FA"/>
    <w:rsid w:val="00AD614E"/>
    <w:rsid w:val="00AE4456"/>
    <w:rsid w:val="00AE7891"/>
    <w:rsid w:val="00AE7A00"/>
    <w:rsid w:val="00AF2983"/>
    <w:rsid w:val="00AF5F03"/>
    <w:rsid w:val="00B02721"/>
    <w:rsid w:val="00B136B2"/>
    <w:rsid w:val="00B173CA"/>
    <w:rsid w:val="00B26966"/>
    <w:rsid w:val="00B34118"/>
    <w:rsid w:val="00B34123"/>
    <w:rsid w:val="00B40EC5"/>
    <w:rsid w:val="00B456F6"/>
    <w:rsid w:val="00B475C6"/>
    <w:rsid w:val="00B70427"/>
    <w:rsid w:val="00B70C48"/>
    <w:rsid w:val="00B7127F"/>
    <w:rsid w:val="00B75C0E"/>
    <w:rsid w:val="00B81D7A"/>
    <w:rsid w:val="00B84A8E"/>
    <w:rsid w:val="00B85DDB"/>
    <w:rsid w:val="00B8630D"/>
    <w:rsid w:val="00B9000A"/>
    <w:rsid w:val="00B93526"/>
    <w:rsid w:val="00B96252"/>
    <w:rsid w:val="00B97B9E"/>
    <w:rsid w:val="00BA33D8"/>
    <w:rsid w:val="00BA58BB"/>
    <w:rsid w:val="00BB3B5C"/>
    <w:rsid w:val="00BB749E"/>
    <w:rsid w:val="00BD49D8"/>
    <w:rsid w:val="00BD6DA9"/>
    <w:rsid w:val="00BD6EC9"/>
    <w:rsid w:val="00BE0094"/>
    <w:rsid w:val="00BE150C"/>
    <w:rsid w:val="00BE16E5"/>
    <w:rsid w:val="00BE4EFA"/>
    <w:rsid w:val="00BE6A7B"/>
    <w:rsid w:val="00BF54FD"/>
    <w:rsid w:val="00BF61D5"/>
    <w:rsid w:val="00C04E64"/>
    <w:rsid w:val="00C057E3"/>
    <w:rsid w:val="00C05CCA"/>
    <w:rsid w:val="00C066ED"/>
    <w:rsid w:val="00C11052"/>
    <w:rsid w:val="00C11CB6"/>
    <w:rsid w:val="00C123E6"/>
    <w:rsid w:val="00C128F3"/>
    <w:rsid w:val="00C12C9D"/>
    <w:rsid w:val="00C30BD1"/>
    <w:rsid w:val="00C334B0"/>
    <w:rsid w:val="00C3545E"/>
    <w:rsid w:val="00C37F25"/>
    <w:rsid w:val="00C41AAF"/>
    <w:rsid w:val="00C51492"/>
    <w:rsid w:val="00C572CC"/>
    <w:rsid w:val="00C577EE"/>
    <w:rsid w:val="00C57B56"/>
    <w:rsid w:val="00C603B4"/>
    <w:rsid w:val="00C61327"/>
    <w:rsid w:val="00C72BF1"/>
    <w:rsid w:val="00C749CA"/>
    <w:rsid w:val="00C76938"/>
    <w:rsid w:val="00C8192E"/>
    <w:rsid w:val="00C820EE"/>
    <w:rsid w:val="00C82570"/>
    <w:rsid w:val="00C87B9F"/>
    <w:rsid w:val="00C92A3B"/>
    <w:rsid w:val="00CA1DAF"/>
    <w:rsid w:val="00CA62BC"/>
    <w:rsid w:val="00CC5640"/>
    <w:rsid w:val="00CD2614"/>
    <w:rsid w:val="00CE6050"/>
    <w:rsid w:val="00CF1E47"/>
    <w:rsid w:val="00CF3DB0"/>
    <w:rsid w:val="00CF7A7C"/>
    <w:rsid w:val="00D011E3"/>
    <w:rsid w:val="00D03E38"/>
    <w:rsid w:val="00D03FC6"/>
    <w:rsid w:val="00D079CC"/>
    <w:rsid w:val="00D17B8C"/>
    <w:rsid w:val="00D17DB0"/>
    <w:rsid w:val="00D2328A"/>
    <w:rsid w:val="00D42AAB"/>
    <w:rsid w:val="00D4478B"/>
    <w:rsid w:val="00D46008"/>
    <w:rsid w:val="00D46854"/>
    <w:rsid w:val="00D474BE"/>
    <w:rsid w:val="00D479E3"/>
    <w:rsid w:val="00D53803"/>
    <w:rsid w:val="00D54338"/>
    <w:rsid w:val="00D54DED"/>
    <w:rsid w:val="00D60A13"/>
    <w:rsid w:val="00D6177A"/>
    <w:rsid w:val="00D649A6"/>
    <w:rsid w:val="00D649C3"/>
    <w:rsid w:val="00D65866"/>
    <w:rsid w:val="00D75B01"/>
    <w:rsid w:val="00D81BBC"/>
    <w:rsid w:val="00D839EA"/>
    <w:rsid w:val="00DA190C"/>
    <w:rsid w:val="00DA1AF6"/>
    <w:rsid w:val="00DB38A1"/>
    <w:rsid w:val="00DB6667"/>
    <w:rsid w:val="00DC2CB9"/>
    <w:rsid w:val="00DC3A9D"/>
    <w:rsid w:val="00DC715C"/>
    <w:rsid w:val="00DD589C"/>
    <w:rsid w:val="00DE3DE8"/>
    <w:rsid w:val="00DE63BC"/>
    <w:rsid w:val="00DF0CEF"/>
    <w:rsid w:val="00DF243E"/>
    <w:rsid w:val="00DF432C"/>
    <w:rsid w:val="00DF7AB6"/>
    <w:rsid w:val="00E0175F"/>
    <w:rsid w:val="00E01AAA"/>
    <w:rsid w:val="00E06231"/>
    <w:rsid w:val="00E07C1B"/>
    <w:rsid w:val="00E1382D"/>
    <w:rsid w:val="00E17B5C"/>
    <w:rsid w:val="00E21A95"/>
    <w:rsid w:val="00E22839"/>
    <w:rsid w:val="00E2302C"/>
    <w:rsid w:val="00E26A16"/>
    <w:rsid w:val="00E33567"/>
    <w:rsid w:val="00E412AB"/>
    <w:rsid w:val="00E45E66"/>
    <w:rsid w:val="00E46A5D"/>
    <w:rsid w:val="00E5103F"/>
    <w:rsid w:val="00E55256"/>
    <w:rsid w:val="00E56A7F"/>
    <w:rsid w:val="00E679AF"/>
    <w:rsid w:val="00E83380"/>
    <w:rsid w:val="00E96C4E"/>
    <w:rsid w:val="00EA7B0F"/>
    <w:rsid w:val="00EB4C48"/>
    <w:rsid w:val="00EB5D31"/>
    <w:rsid w:val="00EC0F13"/>
    <w:rsid w:val="00EC2533"/>
    <w:rsid w:val="00EC7AEC"/>
    <w:rsid w:val="00EE41C3"/>
    <w:rsid w:val="00EE53ED"/>
    <w:rsid w:val="00EE7134"/>
    <w:rsid w:val="00EF50A8"/>
    <w:rsid w:val="00EF7789"/>
    <w:rsid w:val="00F00380"/>
    <w:rsid w:val="00F019D8"/>
    <w:rsid w:val="00F06282"/>
    <w:rsid w:val="00F12ADE"/>
    <w:rsid w:val="00F13786"/>
    <w:rsid w:val="00F2265B"/>
    <w:rsid w:val="00F313CB"/>
    <w:rsid w:val="00F429EF"/>
    <w:rsid w:val="00F43D71"/>
    <w:rsid w:val="00F5206B"/>
    <w:rsid w:val="00F56A3B"/>
    <w:rsid w:val="00F57560"/>
    <w:rsid w:val="00F62CDA"/>
    <w:rsid w:val="00F64217"/>
    <w:rsid w:val="00F65A1B"/>
    <w:rsid w:val="00F65DE6"/>
    <w:rsid w:val="00F675B6"/>
    <w:rsid w:val="00F80AD1"/>
    <w:rsid w:val="00F85EDB"/>
    <w:rsid w:val="00FA2811"/>
    <w:rsid w:val="00FB77C5"/>
    <w:rsid w:val="00FC02CC"/>
    <w:rsid w:val="00FC2483"/>
    <w:rsid w:val="00FC44F4"/>
    <w:rsid w:val="00FC4F33"/>
    <w:rsid w:val="00FC7A91"/>
    <w:rsid w:val="00FD517C"/>
    <w:rsid w:val="00FE42DB"/>
    <w:rsid w:val="00FF1CE5"/>
    <w:rsid w:val="00FF3D3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3B758A-0DCE-4D23-80B0-A478A29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04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D00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D004B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rsid w:val="003D004B"/>
  </w:style>
  <w:style w:type="paragraph" w:customStyle="1" w:styleId="BodyText1">
    <w:name w:val="Body Text1"/>
    <w:basedOn w:val="Normal"/>
    <w:uiPriority w:val="99"/>
    <w:rsid w:val="003D004B"/>
    <w:pPr>
      <w:jc w:val="both"/>
    </w:pPr>
    <w:rPr>
      <w:rFonts w:eastAsia="Calibri"/>
      <w:sz w:val="18"/>
      <w:szCs w:val="20"/>
      <w:lang w:eastAsia="en-US"/>
    </w:rPr>
  </w:style>
  <w:style w:type="paragraph" w:customStyle="1" w:styleId="para1">
    <w:name w:val="para1"/>
    <w:basedOn w:val="Normal"/>
    <w:uiPriority w:val="99"/>
    <w:rsid w:val="003D004B"/>
    <w:pPr>
      <w:tabs>
        <w:tab w:val="left" w:pos="360"/>
      </w:tabs>
      <w:spacing w:before="1" w:after="1"/>
      <w:ind w:left="360" w:hanging="360"/>
      <w:jc w:val="both"/>
    </w:pPr>
    <w:rPr>
      <w:rFonts w:ascii="Teifryn" w:eastAsia="Calibri" w:hAnsi="Teifryn"/>
      <w:noProof/>
      <w:sz w:val="18"/>
      <w:szCs w:val="20"/>
      <w:lang w:eastAsia="en-US"/>
    </w:rPr>
  </w:style>
  <w:style w:type="paragraph" w:customStyle="1" w:styleId="para2">
    <w:name w:val="para2"/>
    <w:basedOn w:val="Normal"/>
    <w:uiPriority w:val="99"/>
    <w:rsid w:val="003D004B"/>
    <w:pPr>
      <w:tabs>
        <w:tab w:val="left" w:pos="360"/>
      </w:tabs>
      <w:spacing w:before="1" w:after="1"/>
      <w:ind w:left="720" w:hanging="360"/>
      <w:jc w:val="both"/>
    </w:pPr>
    <w:rPr>
      <w:rFonts w:ascii="Teifryn" w:eastAsia="Calibri" w:hAnsi="Teifryn"/>
      <w:noProof/>
      <w:sz w:val="18"/>
      <w:szCs w:val="20"/>
      <w:lang w:eastAsia="en-US"/>
    </w:rPr>
  </w:style>
  <w:style w:type="paragraph" w:styleId="BlockText">
    <w:name w:val="Block Text"/>
    <w:basedOn w:val="Normal"/>
    <w:uiPriority w:val="99"/>
    <w:rsid w:val="003D004B"/>
    <w:pPr>
      <w:tabs>
        <w:tab w:val="left" w:pos="360"/>
      </w:tabs>
      <w:ind w:left="360" w:right="-515" w:hanging="360"/>
      <w:jc w:val="both"/>
    </w:pPr>
    <w:rPr>
      <w:rFonts w:ascii="Teifryn" w:eastAsia="Calibri" w:hAnsi="Teifryn"/>
      <w:sz w:val="18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3D004B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004B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1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5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6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Williams</dc:creator>
  <cp:lastModifiedBy>Gwen Lloyd Aubrey</cp:lastModifiedBy>
  <cp:revision>5</cp:revision>
  <cp:lastPrinted>2016-01-27T09:52:00Z</cp:lastPrinted>
  <dcterms:created xsi:type="dcterms:W3CDTF">2016-01-27T09:52:00Z</dcterms:created>
  <dcterms:modified xsi:type="dcterms:W3CDTF">2016-09-05T08:45:00Z</dcterms:modified>
</cp:coreProperties>
</file>